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13EC3" w14:textId="1169EC66" w:rsidR="00AF6A8C" w:rsidRDefault="00AF6A8C" w:rsidP="00E831BA">
      <w:pPr>
        <w:spacing w:after="0"/>
        <w:ind w:left="-426" w:right="-330"/>
        <w:rPr>
          <w:rFonts w:ascii="Arial" w:hAnsi="Arial" w:cs="Arial"/>
          <w:sz w:val="28"/>
          <w:szCs w:val="28"/>
        </w:rPr>
      </w:pPr>
      <w:bookmarkStart w:id="0" w:name="_GoBack"/>
      <w:bookmarkEnd w:id="0"/>
      <w:r w:rsidRPr="0043286E">
        <w:rPr>
          <w:rFonts w:ascii="Arial" w:hAnsi="Arial" w:cs="Arial"/>
          <w:noProof/>
          <w:color w:val="FFFFFF"/>
          <w:sz w:val="20"/>
          <w:szCs w:val="20"/>
          <w:lang w:eastAsia="en-GB"/>
        </w:rPr>
        <w:drawing>
          <wp:anchor distT="0" distB="0" distL="114300" distR="114300" simplePos="0" relativeHeight="251659264" behindDoc="1" locked="0" layoutInCell="1" allowOverlap="1" wp14:anchorId="667AE508" wp14:editId="2EB30AE4">
            <wp:simplePos x="0" y="0"/>
            <wp:positionH relativeFrom="column">
              <wp:posOffset>4826525</wp:posOffset>
            </wp:positionH>
            <wp:positionV relativeFrom="paragraph">
              <wp:posOffset>-277701</wp:posOffset>
            </wp:positionV>
            <wp:extent cx="1346400" cy="1051200"/>
            <wp:effectExtent l="0" t="0" r="6350"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6400" cy="105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32DA4" w14:textId="26E745B5" w:rsidR="00E831BA" w:rsidRPr="0043286E" w:rsidRDefault="00AF6A8C" w:rsidP="00E831BA">
      <w:pPr>
        <w:spacing w:after="0"/>
        <w:ind w:left="-426" w:right="-330"/>
        <w:rPr>
          <w:rFonts w:ascii="Arial" w:hAnsi="Arial" w:cs="Arial"/>
          <w:sz w:val="28"/>
          <w:szCs w:val="28"/>
        </w:rPr>
      </w:pPr>
      <w:r>
        <w:rPr>
          <w:rFonts w:ascii="Arial" w:hAnsi="Arial" w:cs="Arial"/>
          <w:b/>
          <w:bCs/>
          <w:sz w:val="28"/>
          <w:szCs w:val="28"/>
        </w:rPr>
        <w:t xml:space="preserve">Appendix - </w:t>
      </w:r>
      <w:r w:rsidR="00E831BA" w:rsidRPr="00AF6A8C">
        <w:rPr>
          <w:rFonts w:ascii="Arial" w:hAnsi="Arial" w:cs="Arial"/>
          <w:b/>
          <w:bCs/>
          <w:sz w:val="28"/>
          <w:szCs w:val="28"/>
        </w:rPr>
        <w:t>Sheffield City Council consultation</w:t>
      </w:r>
      <w:r w:rsidRPr="00AF6A8C">
        <w:rPr>
          <w:rFonts w:ascii="Arial" w:hAnsi="Arial" w:cs="Arial"/>
          <w:b/>
          <w:bCs/>
          <w:sz w:val="28"/>
          <w:szCs w:val="28"/>
        </w:rPr>
        <w:t>:</w:t>
      </w:r>
    </w:p>
    <w:p w14:paraId="36F29081" w14:textId="04072457" w:rsidR="00E831BA" w:rsidRDefault="00E831BA" w:rsidP="00E831BA">
      <w:pPr>
        <w:spacing w:after="0"/>
        <w:ind w:left="-426" w:right="-330"/>
        <w:rPr>
          <w:rFonts w:ascii="Arial" w:hAnsi="Arial" w:cs="Arial"/>
          <w:sz w:val="24"/>
          <w:szCs w:val="24"/>
        </w:rPr>
      </w:pPr>
      <w:r w:rsidRPr="00E831BA">
        <w:rPr>
          <w:rFonts w:ascii="Arial" w:hAnsi="Arial" w:cs="Arial"/>
          <w:b/>
          <w:bCs/>
          <w:sz w:val="28"/>
          <w:szCs w:val="28"/>
        </w:rPr>
        <w:t>Adult social care cost of living allowance</w:t>
      </w:r>
    </w:p>
    <w:p w14:paraId="0EC3FA08" w14:textId="200E1E19" w:rsidR="00E831BA" w:rsidRDefault="00C56AE0" w:rsidP="00E831BA">
      <w:pPr>
        <w:spacing w:after="0"/>
        <w:ind w:left="-426" w:right="-330"/>
        <w:rPr>
          <w:rFonts w:ascii="Arial" w:hAnsi="Arial" w:cs="Arial"/>
          <w:b/>
          <w:bCs/>
          <w:sz w:val="28"/>
          <w:szCs w:val="28"/>
        </w:rPr>
      </w:pPr>
      <w:r>
        <w:rPr>
          <w:rFonts w:ascii="Arial" w:hAnsi="Arial" w:cs="Arial"/>
          <w:b/>
          <w:bCs/>
          <w:sz w:val="28"/>
          <w:szCs w:val="28"/>
        </w:rPr>
        <w:t xml:space="preserve">  </w:t>
      </w:r>
    </w:p>
    <w:p w14:paraId="129E85AC" w14:textId="4D327973" w:rsidR="00E831BA" w:rsidRPr="00AF6A8C" w:rsidRDefault="00A60943" w:rsidP="00AF6A8C">
      <w:pPr>
        <w:spacing w:after="0"/>
        <w:ind w:left="-426" w:right="-330"/>
        <w:rPr>
          <w:rFonts w:ascii="Arial" w:hAnsi="Arial" w:cs="Arial"/>
          <w:b/>
          <w:bCs/>
          <w:sz w:val="24"/>
          <w:szCs w:val="24"/>
        </w:rPr>
      </w:pPr>
      <w:r>
        <w:rPr>
          <w:rFonts w:ascii="Arial" w:hAnsi="Arial" w:cs="Arial"/>
          <w:b/>
          <w:bCs/>
          <w:sz w:val="24"/>
          <w:szCs w:val="24"/>
        </w:rPr>
        <w:t xml:space="preserve">Examples of the </w:t>
      </w:r>
      <w:r w:rsidR="00AF6A8C" w:rsidRPr="00AF6A8C">
        <w:rPr>
          <w:rFonts w:ascii="Arial" w:hAnsi="Arial" w:cs="Arial"/>
          <w:b/>
          <w:bCs/>
          <w:sz w:val="24"/>
          <w:szCs w:val="24"/>
        </w:rPr>
        <w:t>financial impact of</w:t>
      </w:r>
      <w:r w:rsidR="00E831BA" w:rsidRPr="00AF6A8C">
        <w:rPr>
          <w:rFonts w:ascii="Arial" w:hAnsi="Arial" w:cs="Arial"/>
          <w:b/>
          <w:bCs/>
          <w:sz w:val="24"/>
          <w:szCs w:val="24"/>
        </w:rPr>
        <w:t xml:space="preserve"> different options </w:t>
      </w:r>
    </w:p>
    <w:p w14:paraId="29D372BE" w14:textId="13FE0B0A" w:rsidR="00055AD3" w:rsidRDefault="00055AD3" w:rsidP="00E831BA">
      <w:pPr>
        <w:spacing w:after="0"/>
        <w:ind w:left="-426" w:right="-330"/>
        <w:rPr>
          <w:rFonts w:ascii="Arial" w:hAnsi="Arial" w:cs="Arial"/>
          <w:sz w:val="24"/>
          <w:szCs w:val="24"/>
        </w:rPr>
      </w:pPr>
    </w:p>
    <w:p w14:paraId="73DD7432" w14:textId="77777777" w:rsidR="00AA66EB" w:rsidRDefault="00E831BA" w:rsidP="00AA66EB">
      <w:pPr>
        <w:spacing w:after="0"/>
        <w:ind w:left="-426" w:right="-330"/>
        <w:rPr>
          <w:rFonts w:ascii="Arial" w:hAnsi="Arial" w:cs="Arial"/>
          <w:sz w:val="24"/>
          <w:szCs w:val="24"/>
        </w:rPr>
      </w:pPr>
      <w:r w:rsidRPr="00055AD3">
        <w:rPr>
          <w:rFonts w:ascii="Arial" w:hAnsi="Arial" w:cs="Arial"/>
          <w:sz w:val="24"/>
          <w:szCs w:val="24"/>
        </w:rPr>
        <w:t xml:space="preserve">This </w:t>
      </w:r>
      <w:r w:rsidR="00055AD3" w:rsidRPr="00055AD3">
        <w:rPr>
          <w:rFonts w:ascii="Arial" w:hAnsi="Arial" w:cs="Arial"/>
          <w:sz w:val="24"/>
          <w:szCs w:val="24"/>
        </w:rPr>
        <w:t xml:space="preserve">is an </w:t>
      </w:r>
      <w:r w:rsidRPr="00055AD3">
        <w:rPr>
          <w:rFonts w:ascii="Arial" w:hAnsi="Arial" w:cs="Arial"/>
          <w:sz w:val="24"/>
          <w:szCs w:val="24"/>
        </w:rPr>
        <w:t>appendix</w:t>
      </w:r>
      <w:r w:rsidR="00055AD3" w:rsidRPr="00055AD3">
        <w:rPr>
          <w:rFonts w:ascii="Arial" w:hAnsi="Arial" w:cs="Arial"/>
          <w:sz w:val="24"/>
          <w:szCs w:val="24"/>
        </w:rPr>
        <w:t xml:space="preserve"> to </w:t>
      </w:r>
      <w:r w:rsidRPr="00055AD3">
        <w:rPr>
          <w:rFonts w:ascii="Arial" w:hAnsi="Arial" w:cs="Arial"/>
          <w:sz w:val="24"/>
          <w:szCs w:val="24"/>
        </w:rPr>
        <w:t>the council’s consultation on in</w:t>
      </w:r>
      <w:r w:rsidR="00E35C8A">
        <w:rPr>
          <w:rFonts w:ascii="Arial" w:hAnsi="Arial" w:cs="Arial"/>
          <w:sz w:val="24"/>
          <w:szCs w:val="24"/>
        </w:rPr>
        <w:t>creasing the</w:t>
      </w:r>
      <w:r w:rsidRPr="00055AD3">
        <w:rPr>
          <w:rFonts w:ascii="Arial" w:hAnsi="Arial" w:cs="Arial"/>
          <w:sz w:val="24"/>
          <w:szCs w:val="24"/>
        </w:rPr>
        <w:t xml:space="preserve"> cost of living allowance</w:t>
      </w:r>
      <w:r w:rsidR="00055AD3">
        <w:rPr>
          <w:rFonts w:ascii="Arial" w:hAnsi="Arial" w:cs="Arial"/>
          <w:sz w:val="24"/>
          <w:szCs w:val="24"/>
        </w:rPr>
        <w:t xml:space="preserve"> for people who pay for care and support and who live at home.</w:t>
      </w:r>
      <w:r w:rsidR="00055AD3" w:rsidRPr="00055AD3">
        <w:rPr>
          <w:rFonts w:ascii="Arial" w:hAnsi="Arial" w:cs="Arial"/>
          <w:sz w:val="24"/>
          <w:szCs w:val="24"/>
        </w:rPr>
        <w:t xml:space="preserve"> </w:t>
      </w:r>
      <w:r w:rsidR="00055AD3">
        <w:rPr>
          <w:rFonts w:ascii="Arial" w:hAnsi="Arial" w:cs="Arial"/>
          <w:sz w:val="24"/>
          <w:szCs w:val="24"/>
        </w:rPr>
        <w:t xml:space="preserve">The cost of living allowance would increase </w:t>
      </w:r>
      <w:r w:rsidR="00055AD3" w:rsidRPr="00055AD3">
        <w:rPr>
          <w:rFonts w:ascii="Arial" w:hAnsi="Arial" w:cs="Arial"/>
          <w:sz w:val="24"/>
          <w:szCs w:val="24"/>
        </w:rPr>
        <w:t xml:space="preserve">the </w:t>
      </w:r>
      <w:r w:rsidR="002A115F">
        <w:rPr>
          <w:rFonts w:ascii="Arial" w:hAnsi="Arial" w:cs="Arial"/>
          <w:sz w:val="24"/>
          <w:szCs w:val="24"/>
        </w:rPr>
        <w:t xml:space="preserve">statutory </w:t>
      </w:r>
      <w:r w:rsidR="00E35C8A">
        <w:rPr>
          <w:rFonts w:ascii="Arial" w:hAnsi="Arial" w:cs="Arial"/>
          <w:sz w:val="24"/>
          <w:szCs w:val="24"/>
        </w:rPr>
        <w:t>m</w:t>
      </w:r>
      <w:r w:rsidR="00055AD3" w:rsidRPr="00055AD3">
        <w:rPr>
          <w:rFonts w:ascii="Arial" w:hAnsi="Arial" w:cs="Arial"/>
          <w:sz w:val="24"/>
          <w:szCs w:val="24"/>
        </w:rPr>
        <w:t xml:space="preserve">inimum </w:t>
      </w:r>
      <w:r w:rsidR="00E35C8A">
        <w:rPr>
          <w:rFonts w:ascii="Arial" w:hAnsi="Arial" w:cs="Arial"/>
          <w:sz w:val="24"/>
          <w:szCs w:val="24"/>
        </w:rPr>
        <w:t>i</w:t>
      </w:r>
      <w:r w:rsidR="00055AD3" w:rsidRPr="00055AD3">
        <w:rPr>
          <w:rFonts w:ascii="Arial" w:hAnsi="Arial" w:cs="Arial"/>
          <w:sz w:val="24"/>
          <w:szCs w:val="24"/>
        </w:rPr>
        <w:t xml:space="preserve">ncome </w:t>
      </w:r>
      <w:r w:rsidR="00E35C8A">
        <w:rPr>
          <w:rFonts w:ascii="Arial" w:hAnsi="Arial" w:cs="Arial"/>
          <w:sz w:val="24"/>
          <w:szCs w:val="24"/>
        </w:rPr>
        <w:t>g</w:t>
      </w:r>
      <w:r w:rsidR="00055AD3" w:rsidRPr="00055AD3">
        <w:rPr>
          <w:rFonts w:ascii="Arial" w:hAnsi="Arial" w:cs="Arial"/>
          <w:sz w:val="24"/>
          <w:szCs w:val="24"/>
        </w:rPr>
        <w:t xml:space="preserve">uarantee. </w:t>
      </w:r>
    </w:p>
    <w:p w14:paraId="7E4952F6" w14:textId="313FBFD1" w:rsidR="00AA66EB" w:rsidRDefault="00AA66EB" w:rsidP="00AA66EB">
      <w:pPr>
        <w:spacing w:after="0"/>
        <w:ind w:left="-426" w:right="-330"/>
        <w:rPr>
          <w:rFonts w:ascii="Arial" w:hAnsi="Arial" w:cs="Arial"/>
          <w:sz w:val="24"/>
          <w:szCs w:val="24"/>
        </w:rPr>
      </w:pPr>
    </w:p>
    <w:p w14:paraId="15C41A09" w14:textId="77777777" w:rsidR="00AF6A8C" w:rsidRDefault="00AA66EB" w:rsidP="00AA66EB">
      <w:pPr>
        <w:spacing w:after="0"/>
        <w:ind w:left="-426" w:right="-330"/>
        <w:rPr>
          <w:rFonts w:ascii="Arial" w:hAnsi="Arial" w:cs="Arial"/>
          <w:sz w:val="24"/>
          <w:szCs w:val="24"/>
        </w:rPr>
      </w:pPr>
      <w:r>
        <w:rPr>
          <w:rFonts w:ascii="Arial" w:hAnsi="Arial" w:cs="Arial"/>
          <w:sz w:val="24"/>
          <w:szCs w:val="24"/>
        </w:rPr>
        <w:t xml:space="preserve">The consultation is running </w:t>
      </w:r>
      <w:r w:rsidR="00AF6A8C">
        <w:rPr>
          <w:rFonts w:ascii="Arial" w:hAnsi="Arial" w:cs="Arial"/>
          <w:sz w:val="24"/>
          <w:szCs w:val="24"/>
        </w:rPr>
        <w:t>until</w:t>
      </w:r>
      <w:r w:rsidRPr="00AA66EB">
        <w:rPr>
          <w:rFonts w:ascii="Arial" w:hAnsi="Arial" w:cs="Arial"/>
          <w:sz w:val="24"/>
          <w:szCs w:val="24"/>
        </w:rPr>
        <w:t xml:space="preserve"> </w:t>
      </w:r>
      <w:r w:rsidRPr="00AF6A8C">
        <w:rPr>
          <w:rFonts w:ascii="Arial" w:hAnsi="Arial" w:cs="Arial"/>
          <w:b/>
          <w:bCs/>
          <w:sz w:val="24"/>
          <w:szCs w:val="24"/>
        </w:rPr>
        <w:t>16 February 2021</w:t>
      </w:r>
      <w:r>
        <w:rPr>
          <w:rFonts w:ascii="Arial" w:hAnsi="Arial" w:cs="Arial"/>
          <w:sz w:val="24"/>
          <w:szCs w:val="24"/>
        </w:rPr>
        <w:t xml:space="preserve">. </w:t>
      </w:r>
    </w:p>
    <w:p w14:paraId="63EC42C8" w14:textId="77777777" w:rsidR="00AF6A8C" w:rsidRDefault="00AF6A8C" w:rsidP="00AA66EB">
      <w:pPr>
        <w:spacing w:after="0"/>
        <w:ind w:left="-426" w:right="-330"/>
        <w:rPr>
          <w:rFonts w:ascii="Arial" w:hAnsi="Arial" w:cs="Arial"/>
          <w:sz w:val="24"/>
          <w:szCs w:val="24"/>
        </w:rPr>
      </w:pPr>
    </w:p>
    <w:p w14:paraId="329A558A" w14:textId="77777777" w:rsidR="00AF6A8C" w:rsidRDefault="00AA66EB" w:rsidP="00AF6A8C">
      <w:pPr>
        <w:spacing w:after="0"/>
        <w:ind w:left="-426" w:right="-330"/>
        <w:rPr>
          <w:rFonts w:ascii="Arial" w:hAnsi="Arial" w:cs="Arial"/>
          <w:sz w:val="24"/>
          <w:szCs w:val="24"/>
        </w:rPr>
      </w:pPr>
      <w:r>
        <w:rPr>
          <w:rFonts w:ascii="Arial" w:hAnsi="Arial" w:cs="Arial"/>
          <w:sz w:val="24"/>
          <w:szCs w:val="24"/>
        </w:rPr>
        <w:t>You can respond to the consultation on-line a</w:t>
      </w:r>
      <w:r w:rsidR="00AF6A8C">
        <w:rPr>
          <w:rFonts w:ascii="Arial" w:hAnsi="Arial" w:cs="Arial"/>
          <w:sz w:val="24"/>
          <w:szCs w:val="24"/>
        </w:rPr>
        <w:t xml:space="preserve">t: </w:t>
      </w:r>
    </w:p>
    <w:p w14:paraId="74010BC7" w14:textId="77777777" w:rsidR="00AF6A8C" w:rsidRDefault="00AF6A8C" w:rsidP="00AF6A8C">
      <w:pPr>
        <w:spacing w:after="0"/>
        <w:ind w:left="-426" w:right="-330"/>
        <w:rPr>
          <w:rFonts w:ascii="Arial" w:hAnsi="Arial" w:cs="Arial"/>
          <w:sz w:val="24"/>
          <w:szCs w:val="24"/>
        </w:rPr>
      </w:pPr>
    </w:p>
    <w:p w14:paraId="24276085" w14:textId="1D09E596" w:rsidR="00055AD3" w:rsidRPr="00AF6A8C" w:rsidRDefault="00E55030" w:rsidP="00AF6A8C">
      <w:pPr>
        <w:spacing w:after="0"/>
        <w:ind w:left="-426" w:right="-330"/>
        <w:rPr>
          <w:rFonts w:ascii="Arial" w:hAnsi="Arial" w:cs="Arial"/>
          <w:sz w:val="24"/>
          <w:szCs w:val="24"/>
        </w:rPr>
      </w:pPr>
      <w:hyperlink r:id="rId10" w:history="1">
        <w:r w:rsidR="00AF6A8C" w:rsidRPr="00487785">
          <w:rPr>
            <w:rStyle w:val="Hyperlink"/>
            <w:rFonts w:ascii="Arial" w:hAnsi="Arial" w:cs="Arial"/>
            <w:sz w:val="24"/>
            <w:szCs w:val="24"/>
          </w:rPr>
          <w:t>https://sheffield.citizenspace.com/communities-business-strategy/adult-social-care-cost-of-living-allowance/consult_view</w:t>
        </w:r>
      </w:hyperlink>
      <w:r w:rsidR="00E831BA">
        <w:rPr>
          <w:rFonts w:ascii="Arial" w:hAnsi="Arial" w:cs="Arial"/>
          <w:sz w:val="28"/>
          <w:szCs w:val="28"/>
        </w:rPr>
        <w:t xml:space="preserve"> </w:t>
      </w:r>
    </w:p>
    <w:p w14:paraId="670308E2" w14:textId="77777777" w:rsidR="00055AD3" w:rsidRDefault="00055AD3" w:rsidP="00055AD3">
      <w:pPr>
        <w:spacing w:after="0"/>
        <w:ind w:left="1440" w:right="-330" w:hanging="1866"/>
        <w:rPr>
          <w:rFonts w:ascii="Arial" w:hAnsi="Arial" w:cs="Arial"/>
          <w:sz w:val="28"/>
          <w:szCs w:val="28"/>
        </w:rPr>
      </w:pPr>
    </w:p>
    <w:p w14:paraId="7FF0ABFE" w14:textId="77777777" w:rsidR="00AF6A8C" w:rsidRDefault="00AA66EB" w:rsidP="00AF6A8C">
      <w:pPr>
        <w:spacing w:after="0"/>
        <w:ind w:left="1440" w:right="-330" w:hanging="1866"/>
        <w:rPr>
          <w:rFonts w:ascii="Arial" w:eastAsia="Times New Roman" w:hAnsi="Arial" w:cs="Arial"/>
          <w:sz w:val="24"/>
          <w:szCs w:val="24"/>
        </w:rPr>
      </w:pPr>
      <w:r>
        <w:rPr>
          <w:rFonts w:ascii="Arial" w:eastAsia="Times New Roman" w:hAnsi="Arial" w:cs="Arial"/>
          <w:sz w:val="24"/>
          <w:szCs w:val="24"/>
        </w:rPr>
        <w:t>Or you can get details of the consultation and other ways to respond</w:t>
      </w:r>
      <w:r w:rsidR="00AF6A8C">
        <w:rPr>
          <w:rFonts w:ascii="Arial" w:eastAsia="Times New Roman" w:hAnsi="Arial" w:cs="Arial"/>
          <w:sz w:val="24"/>
          <w:szCs w:val="24"/>
        </w:rPr>
        <w:t xml:space="preserve"> by </w:t>
      </w:r>
      <w:r w:rsidR="00055AD3" w:rsidRPr="00055AD3">
        <w:rPr>
          <w:rFonts w:ascii="Arial" w:eastAsia="Times New Roman" w:hAnsi="Arial" w:cs="Arial"/>
          <w:sz w:val="24"/>
          <w:szCs w:val="24"/>
        </w:rPr>
        <w:t>email at</w:t>
      </w:r>
      <w:bookmarkStart w:id="1" w:name="_Hlk62462015"/>
      <w:r w:rsidR="00AF6A8C">
        <w:rPr>
          <w:rFonts w:ascii="Arial" w:eastAsia="Times New Roman" w:hAnsi="Arial" w:cs="Arial"/>
          <w:sz w:val="24"/>
          <w:szCs w:val="24"/>
        </w:rPr>
        <w:t xml:space="preserve"> </w:t>
      </w:r>
    </w:p>
    <w:p w14:paraId="5932FDAB" w14:textId="3818FA1B" w:rsidR="00055AD3" w:rsidRDefault="00E55030" w:rsidP="00055AD3">
      <w:pPr>
        <w:spacing w:after="0"/>
        <w:ind w:left="1440" w:right="-330" w:hanging="1866"/>
        <w:rPr>
          <w:rFonts w:ascii="Arial" w:hAnsi="Arial" w:cs="Arial"/>
          <w:sz w:val="28"/>
          <w:szCs w:val="28"/>
        </w:rPr>
      </w:pPr>
      <w:hyperlink r:id="rId11" w:history="1">
        <w:proofErr w:type="gramStart"/>
        <w:r w:rsidR="00AF6A8C" w:rsidRPr="00487785">
          <w:rPr>
            <w:rStyle w:val="Hyperlink"/>
            <w:rFonts w:ascii="Arial" w:eastAsia="Times New Roman" w:hAnsi="Arial" w:cs="Arial"/>
            <w:sz w:val="24"/>
            <w:szCs w:val="24"/>
          </w:rPr>
          <w:t>funding.team@sheffield.gov.uk</w:t>
        </w:r>
      </w:hyperlink>
      <w:r w:rsidR="00055AD3" w:rsidRPr="00055AD3">
        <w:rPr>
          <w:rFonts w:ascii="Arial" w:eastAsia="Times New Roman" w:hAnsi="Arial" w:cs="Arial"/>
          <w:sz w:val="24"/>
          <w:szCs w:val="24"/>
        </w:rPr>
        <w:t xml:space="preserve">  </w:t>
      </w:r>
      <w:r w:rsidR="00AF6A8C">
        <w:rPr>
          <w:rFonts w:ascii="Arial" w:eastAsia="Times New Roman" w:hAnsi="Arial" w:cs="Arial"/>
          <w:sz w:val="24"/>
          <w:szCs w:val="24"/>
        </w:rPr>
        <w:t xml:space="preserve">or by phone on </w:t>
      </w:r>
      <w:r w:rsidR="00055AD3" w:rsidRPr="00055AD3">
        <w:rPr>
          <w:rFonts w:ascii="Arial" w:eastAsia="Times New Roman" w:hAnsi="Arial" w:cs="Arial"/>
          <w:sz w:val="24"/>
          <w:szCs w:val="24"/>
        </w:rPr>
        <w:t>0114 273 4725</w:t>
      </w:r>
      <w:bookmarkEnd w:id="1"/>
      <w:r w:rsidR="00AF6A8C">
        <w:rPr>
          <w:rFonts w:ascii="Arial" w:eastAsia="Times New Roman" w:hAnsi="Arial" w:cs="Arial"/>
          <w:sz w:val="24"/>
          <w:szCs w:val="24"/>
        </w:rPr>
        <w:t>.</w:t>
      </w:r>
      <w:proofErr w:type="gramEnd"/>
    </w:p>
    <w:p w14:paraId="1F328632" w14:textId="4EDCD6AA" w:rsidR="00055AD3" w:rsidRDefault="00055AD3" w:rsidP="00055AD3">
      <w:pPr>
        <w:spacing w:after="0"/>
        <w:ind w:left="1440" w:right="-330" w:hanging="1866"/>
        <w:rPr>
          <w:rFonts w:ascii="Arial" w:hAnsi="Arial" w:cs="Arial"/>
          <w:sz w:val="28"/>
          <w:szCs w:val="28"/>
        </w:rPr>
      </w:pPr>
    </w:p>
    <w:p w14:paraId="62A5A65B" w14:textId="77777777" w:rsidR="00AF6A8C" w:rsidRDefault="00AF6A8C" w:rsidP="00055AD3">
      <w:pPr>
        <w:spacing w:after="0"/>
        <w:ind w:left="-426" w:right="-330"/>
        <w:rPr>
          <w:rFonts w:ascii="Arial" w:hAnsi="Arial" w:cs="Arial"/>
          <w:b/>
          <w:bCs/>
          <w:sz w:val="24"/>
          <w:szCs w:val="24"/>
          <w:lang w:val="en-US"/>
        </w:rPr>
      </w:pPr>
    </w:p>
    <w:p w14:paraId="57FC8EA0" w14:textId="07730579" w:rsidR="00640BBF" w:rsidRPr="00AF6A8C" w:rsidRDefault="00AF6A8C" w:rsidP="00055AD3">
      <w:pPr>
        <w:spacing w:after="0"/>
        <w:ind w:left="-426" w:right="-330"/>
        <w:rPr>
          <w:rFonts w:ascii="Arial" w:hAnsi="Arial" w:cs="Arial"/>
          <w:b/>
          <w:bCs/>
          <w:sz w:val="24"/>
          <w:szCs w:val="24"/>
          <w:lang w:val="en-US"/>
        </w:rPr>
      </w:pPr>
      <w:r w:rsidRPr="00AF6A8C">
        <w:rPr>
          <w:rFonts w:ascii="Arial" w:hAnsi="Arial" w:cs="Arial"/>
          <w:b/>
          <w:bCs/>
          <w:sz w:val="24"/>
          <w:szCs w:val="24"/>
          <w:lang w:val="en-US"/>
        </w:rPr>
        <w:t>The consultation options</w:t>
      </w:r>
    </w:p>
    <w:p w14:paraId="234517A7" w14:textId="22FC6100" w:rsidR="005D0025" w:rsidRDefault="005D0025" w:rsidP="00055AD3">
      <w:pPr>
        <w:spacing w:after="0"/>
        <w:ind w:left="-426" w:right="-330"/>
        <w:rPr>
          <w:rFonts w:ascii="Arial" w:hAnsi="Arial" w:cs="Arial"/>
          <w:sz w:val="24"/>
          <w:szCs w:val="24"/>
          <w:lang w:val="en-US"/>
        </w:rPr>
      </w:pPr>
    </w:p>
    <w:p w14:paraId="443EF02A" w14:textId="56C10742" w:rsidR="009924CB" w:rsidRDefault="00626A9F" w:rsidP="00055AD3">
      <w:pPr>
        <w:spacing w:after="0"/>
        <w:ind w:left="-426" w:right="-330"/>
        <w:rPr>
          <w:rFonts w:ascii="Arial" w:hAnsi="Arial" w:cs="Arial"/>
          <w:sz w:val="24"/>
          <w:szCs w:val="24"/>
          <w:lang w:val="en-US"/>
        </w:rPr>
      </w:pPr>
      <w:r>
        <w:rPr>
          <w:rFonts w:ascii="Arial" w:hAnsi="Arial" w:cs="Arial"/>
          <w:sz w:val="24"/>
          <w:szCs w:val="24"/>
          <w:lang w:val="en-US"/>
        </w:rPr>
        <w:t>Subject to Government increases to pensions and benefits w</w:t>
      </w:r>
      <w:r w:rsidR="009924CB">
        <w:rPr>
          <w:rFonts w:ascii="Arial" w:hAnsi="Arial" w:cs="Arial"/>
          <w:sz w:val="24"/>
          <w:szCs w:val="24"/>
          <w:lang w:val="en-US"/>
        </w:rPr>
        <w:t xml:space="preserve">e </w:t>
      </w:r>
      <w:r>
        <w:rPr>
          <w:rFonts w:ascii="Arial" w:hAnsi="Arial" w:cs="Arial"/>
          <w:sz w:val="24"/>
          <w:szCs w:val="24"/>
          <w:lang w:val="en-US"/>
        </w:rPr>
        <w:t xml:space="preserve">anticipate </w:t>
      </w:r>
      <w:r w:rsidR="009924CB">
        <w:rPr>
          <w:rFonts w:ascii="Arial" w:hAnsi="Arial" w:cs="Arial"/>
          <w:sz w:val="24"/>
          <w:szCs w:val="24"/>
          <w:lang w:val="en-US"/>
        </w:rPr>
        <w:t>hav</w:t>
      </w:r>
      <w:r>
        <w:rPr>
          <w:rFonts w:ascii="Arial" w:hAnsi="Arial" w:cs="Arial"/>
          <w:sz w:val="24"/>
          <w:szCs w:val="24"/>
          <w:lang w:val="en-US"/>
        </w:rPr>
        <w:t>ing</w:t>
      </w:r>
      <w:r w:rsidR="009924CB">
        <w:rPr>
          <w:rFonts w:ascii="Arial" w:hAnsi="Arial" w:cs="Arial"/>
          <w:sz w:val="24"/>
          <w:szCs w:val="24"/>
          <w:lang w:val="en-US"/>
        </w:rPr>
        <w:t xml:space="preserve"> a budget of around £500,000 to pay for increasing the cost of living allowance</w:t>
      </w:r>
      <w:r w:rsidRPr="00626A9F">
        <w:rPr>
          <w:rFonts w:ascii="Arial" w:hAnsi="Arial" w:cs="Arial"/>
          <w:sz w:val="24"/>
          <w:szCs w:val="24"/>
          <w:lang w:val="en-US"/>
        </w:rPr>
        <w:t xml:space="preserve"> </w:t>
      </w:r>
      <w:r>
        <w:rPr>
          <w:rFonts w:ascii="Arial" w:hAnsi="Arial" w:cs="Arial"/>
          <w:sz w:val="24"/>
          <w:szCs w:val="24"/>
          <w:lang w:val="en-US"/>
        </w:rPr>
        <w:t>in 2021-22</w:t>
      </w:r>
      <w:r w:rsidR="009924CB">
        <w:rPr>
          <w:rFonts w:ascii="Arial" w:hAnsi="Arial" w:cs="Arial"/>
          <w:sz w:val="24"/>
          <w:szCs w:val="24"/>
          <w:lang w:val="en-US"/>
        </w:rPr>
        <w:t>. We have identified different options and used th</w:t>
      </w:r>
      <w:r w:rsidR="00A21852">
        <w:rPr>
          <w:rFonts w:ascii="Arial" w:hAnsi="Arial" w:cs="Arial"/>
          <w:sz w:val="24"/>
          <w:szCs w:val="24"/>
          <w:lang w:val="en-US"/>
        </w:rPr>
        <w:t>is</w:t>
      </w:r>
      <w:r w:rsidR="009924CB">
        <w:rPr>
          <w:rFonts w:ascii="Arial" w:hAnsi="Arial" w:cs="Arial"/>
          <w:sz w:val="24"/>
          <w:szCs w:val="24"/>
          <w:lang w:val="en-US"/>
        </w:rPr>
        <w:t xml:space="preserve"> set budget to work out what each option might mean for </w:t>
      </w:r>
      <w:r w:rsidR="00AA29D1">
        <w:rPr>
          <w:rFonts w:ascii="Arial" w:hAnsi="Arial" w:cs="Arial"/>
          <w:sz w:val="24"/>
          <w:szCs w:val="24"/>
          <w:lang w:val="en-US"/>
        </w:rPr>
        <w:t xml:space="preserve">different groups of </w:t>
      </w:r>
      <w:r w:rsidR="009924CB">
        <w:rPr>
          <w:rFonts w:ascii="Arial" w:hAnsi="Arial" w:cs="Arial"/>
          <w:sz w:val="24"/>
          <w:szCs w:val="24"/>
          <w:lang w:val="en-US"/>
        </w:rPr>
        <w:t>people financially. This is shown on the following pages. It reflects the fact that there are many more people of pension age and above compared to younger people. The figures shown are illustrative only</w:t>
      </w:r>
      <w:r w:rsidR="00AA29D1">
        <w:rPr>
          <w:rFonts w:ascii="Arial" w:hAnsi="Arial" w:cs="Arial"/>
          <w:sz w:val="24"/>
          <w:szCs w:val="24"/>
          <w:lang w:val="en-US"/>
        </w:rPr>
        <w:t xml:space="preserve"> to give an idea of possible impacts.</w:t>
      </w:r>
    </w:p>
    <w:p w14:paraId="661A665F" w14:textId="77777777" w:rsidR="009924CB" w:rsidRDefault="009924CB" w:rsidP="00055AD3">
      <w:pPr>
        <w:spacing w:after="0"/>
        <w:ind w:left="-426" w:right="-330"/>
        <w:rPr>
          <w:rFonts w:ascii="Arial" w:hAnsi="Arial" w:cs="Arial"/>
          <w:sz w:val="24"/>
          <w:szCs w:val="24"/>
          <w:lang w:val="en-US"/>
        </w:rPr>
      </w:pPr>
    </w:p>
    <w:p w14:paraId="39CA3FA8" w14:textId="5582D1F1" w:rsidR="00055AD3" w:rsidRDefault="00055AD3" w:rsidP="00055AD3">
      <w:pPr>
        <w:spacing w:after="0"/>
        <w:ind w:left="-426" w:right="-330"/>
        <w:rPr>
          <w:rFonts w:ascii="Arial" w:hAnsi="Arial" w:cs="Arial"/>
          <w:sz w:val="24"/>
          <w:szCs w:val="24"/>
          <w:lang w:val="en-US"/>
        </w:rPr>
      </w:pPr>
      <w:r>
        <w:rPr>
          <w:rFonts w:ascii="Arial" w:hAnsi="Arial" w:cs="Arial"/>
          <w:sz w:val="24"/>
          <w:szCs w:val="24"/>
          <w:lang w:val="en-US"/>
        </w:rPr>
        <w:t xml:space="preserve">The options </w:t>
      </w:r>
      <w:r w:rsidR="003F601C">
        <w:rPr>
          <w:rFonts w:ascii="Arial" w:hAnsi="Arial" w:cs="Arial"/>
          <w:sz w:val="24"/>
          <w:szCs w:val="24"/>
          <w:lang w:val="en-US"/>
        </w:rPr>
        <w:t xml:space="preserve">we have considered </w:t>
      </w:r>
      <w:r>
        <w:rPr>
          <w:rFonts w:ascii="Arial" w:hAnsi="Arial" w:cs="Arial"/>
          <w:sz w:val="24"/>
          <w:szCs w:val="24"/>
          <w:lang w:val="en-US"/>
        </w:rPr>
        <w:t xml:space="preserve">for </w:t>
      </w:r>
      <w:r w:rsidR="00835EB7">
        <w:rPr>
          <w:rFonts w:ascii="Arial" w:hAnsi="Arial" w:cs="Arial"/>
          <w:sz w:val="24"/>
          <w:szCs w:val="24"/>
          <w:lang w:val="en-US"/>
        </w:rPr>
        <w:t>increasing the</w:t>
      </w:r>
      <w:r>
        <w:rPr>
          <w:rFonts w:ascii="Arial" w:hAnsi="Arial" w:cs="Arial"/>
          <w:sz w:val="24"/>
          <w:szCs w:val="24"/>
          <w:lang w:val="en-US"/>
        </w:rPr>
        <w:t xml:space="preserve"> cost of living allowance</w:t>
      </w:r>
      <w:r w:rsidR="003F601C">
        <w:rPr>
          <w:rFonts w:ascii="Arial" w:hAnsi="Arial" w:cs="Arial"/>
          <w:sz w:val="24"/>
          <w:szCs w:val="24"/>
          <w:lang w:val="en-US"/>
        </w:rPr>
        <w:t xml:space="preserve"> are:</w:t>
      </w:r>
    </w:p>
    <w:p w14:paraId="4C98B40C" w14:textId="77777777" w:rsidR="00055AD3" w:rsidRDefault="00055AD3" w:rsidP="00055AD3">
      <w:pPr>
        <w:spacing w:after="0"/>
        <w:ind w:left="-426" w:right="-330"/>
        <w:rPr>
          <w:rFonts w:ascii="Arial" w:hAnsi="Arial" w:cs="Arial"/>
          <w:sz w:val="24"/>
          <w:szCs w:val="24"/>
          <w:lang w:val="en-US"/>
        </w:rPr>
      </w:pPr>
    </w:p>
    <w:p w14:paraId="30640DD8" w14:textId="7F4EC322" w:rsidR="00055AD3" w:rsidRPr="00C31691" w:rsidRDefault="00055AD3" w:rsidP="00055AD3">
      <w:pPr>
        <w:spacing w:after="0"/>
        <w:ind w:left="-426" w:right="-330"/>
        <w:rPr>
          <w:rFonts w:ascii="Arial" w:hAnsi="Arial" w:cs="Arial"/>
          <w:sz w:val="24"/>
          <w:szCs w:val="24"/>
          <w:lang w:val="en"/>
        </w:rPr>
      </w:pPr>
      <w:bookmarkStart w:id="2" w:name="_Hlk63323663"/>
      <w:r w:rsidRPr="00C31691">
        <w:rPr>
          <w:rFonts w:ascii="Arial" w:hAnsi="Arial" w:cs="Arial"/>
          <w:sz w:val="24"/>
          <w:szCs w:val="24"/>
          <w:lang w:val="en-US"/>
        </w:rPr>
        <w:t xml:space="preserve">Option 1 - </w:t>
      </w:r>
      <w:r w:rsidR="00835EB7">
        <w:rPr>
          <w:rFonts w:ascii="Arial" w:hAnsi="Arial" w:cs="Arial"/>
          <w:sz w:val="24"/>
          <w:szCs w:val="24"/>
          <w:lang w:val="en-US"/>
        </w:rPr>
        <w:t>Increase</w:t>
      </w:r>
      <w:r w:rsidRPr="00C31691">
        <w:rPr>
          <w:rFonts w:ascii="Arial" w:hAnsi="Arial" w:cs="Arial"/>
          <w:sz w:val="24"/>
          <w:szCs w:val="24"/>
          <w:lang w:val="en-US"/>
        </w:rPr>
        <w:t xml:space="preserve"> the cost of living allowance based on </w:t>
      </w:r>
      <w:r w:rsidR="00835EB7">
        <w:rPr>
          <w:rFonts w:ascii="Arial" w:hAnsi="Arial" w:cs="Arial"/>
          <w:sz w:val="24"/>
          <w:szCs w:val="24"/>
          <w:lang w:val="en-US"/>
        </w:rPr>
        <w:t>age</w:t>
      </w:r>
    </w:p>
    <w:p w14:paraId="5C5384DF" w14:textId="72855644" w:rsidR="00055AD3" w:rsidRPr="00C31691" w:rsidRDefault="00055AD3" w:rsidP="00055AD3">
      <w:pPr>
        <w:spacing w:after="0"/>
        <w:ind w:left="-426" w:right="-330"/>
        <w:rPr>
          <w:rFonts w:ascii="Arial" w:hAnsi="Arial" w:cs="Arial"/>
          <w:sz w:val="24"/>
          <w:szCs w:val="24"/>
          <w:lang w:val="en"/>
        </w:rPr>
      </w:pPr>
      <w:r w:rsidRPr="00C31691">
        <w:rPr>
          <w:rFonts w:ascii="Arial" w:hAnsi="Arial" w:cs="Arial"/>
          <w:sz w:val="24"/>
          <w:szCs w:val="24"/>
          <w:lang w:val="en-US"/>
        </w:rPr>
        <w:t xml:space="preserve">Option 2 </w:t>
      </w:r>
      <w:r w:rsidR="00835EB7">
        <w:rPr>
          <w:rFonts w:ascii="Arial" w:hAnsi="Arial" w:cs="Arial"/>
          <w:sz w:val="24"/>
          <w:szCs w:val="24"/>
          <w:lang w:val="en-US"/>
        </w:rPr>
        <w:t xml:space="preserve">- Increase </w:t>
      </w:r>
      <w:r w:rsidRPr="00C31691">
        <w:rPr>
          <w:rFonts w:ascii="Arial" w:hAnsi="Arial" w:cs="Arial"/>
          <w:sz w:val="24"/>
          <w:szCs w:val="24"/>
          <w:lang w:val="en-US"/>
        </w:rPr>
        <w:t>the cost of living allowance based on increases to benefits</w:t>
      </w:r>
    </w:p>
    <w:p w14:paraId="133C8749" w14:textId="16BCFE05" w:rsidR="00055AD3" w:rsidRDefault="00055AD3" w:rsidP="00055AD3">
      <w:pPr>
        <w:spacing w:after="0"/>
        <w:ind w:left="-426" w:right="-330"/>
        <w:rPr>
          <w:rFonts w:ascii="Arial" w:hAnsi="Arial" w:cs="Arial"/>
          <w:sz w:val="24"/>
          <w:szCs w:val="24"/>
          <w:lang w:val="en-US"/>
        </w:rPr>
      </w:pPr>
      <w:bookmarkStart w:id="3" w:name="_Hlk63337501"/>
      <w:r w:rsidRPr="00C31691">
        <w:rPr>
          <w:rFonts w:ascii="Arial" w:hAnsi="Arial" w:cs="Arial"/>
          <w:sz w:val="24"/>
          <w:szCs w:val="24"/>
          <w:lang w:val="en-US"/>
        </w:rPr>
        <w:t xml:space="preserve">Option 3 </w:t>
      </w:r>
      <w:r w:rsidR="000871C7">
        <w:rPr>
          <w:rFonts w:ascii="Arial" w:hAnsi="Arial" w:cs="Arial"/>
          <w:sz w:val="24"/>
          <w:szCs w:val="24"/>
          <w:lang w:val="en-US"/>
        </w:rPr>
        <w:t xml:space="preserve">- Make </w:t>
      </w:r>
      <w:r w:rsidRPr="00C31691">
        <w:rPr>
          <w:rFonts w:ascii="Arial" w:hAnsi="Arial" w:cs="Arial"/>
          <w:sz w:val="24"/>
          <w:szCs w:val="24"/>
          <w:lang w:val="en-US"/>
        </w:rPr>
        <w:t>discretionary payments</w:t>
      </w:r>
      <w:r w:rsidR="000871C7" w:rsidRPr="000871C7">
        <w:rPr>
          <w:rFonts w:ascii="Arial" w:hAnsi="Arial" w:cs="Arial"/>
          <w:sz w:val="24"/>
          <w:szCs w:val="24"/>
          <w:lang w:val="en-US"/>
        </w:rPr>
        <w:t xml:space="preserve"> </w:t>
      </w:r>
      <w:r w:rsidR="000871C7" w:rsidRPr="00C31691">
        <w:rPr>
          <w:rFonts w:ascii="Arial" w:hAnsi="Arial" w:cs="Arial"/>
          <w:sz w:val="24"/>
          <w:szCs w:val="24"/>
          <w:lang w:val="en-US"/>
        </w:rPr>
        <w:t xml:space="preserve">instead of </w:t>
      </w:r>
      <w:r w:rsidR="000871C7">
        <w:rPr>
          <w:rFonts w:ascii="Arial" w:hAnsi="Arial" w:cs="Arial"/>
          <w:sz w:val="24"/>
          <w:szCs w:val="24"/>
          <w:lang w:val="en-US"/>
        </w:rPr>
        <w:t>increas</w:t>
      </w:r>
      <w:r w:rsidR="000871C7" w:rsidRPr="00C31691">
        <w:rPr>
          <w:rFonts w:ascii="Arial" w:hAnsi="Arial" w:cs="Arial"/>
          <w:sz w:val="24"/>
          <w:szCs w:val="24"/>
          <w:lang w:val="en-US"/>
        </w:rPr>
        <w:t>ing the cost of living allowance</w:t>
      </w:r>
    </w:p>
    <w:p w14:paraId="141EB5E4" w14:textId="5491E484" w:rsidR="00055AD3" w:rsidRPr="00C31691" w:rsidRDefault="00055AD3" w:rsidP="00055AD3">
      <w:pPr>
        <w:spacing w:after="0"/>
        <w:ind w:left="-426" w:right="-330"/>
        <w:rPr>
          <w:rFonts w:ascii="Arial" w:hAnsi="Arial" w:cs="Arial"/>
          <w:sz w:val="24"/>
          <w:szCs w:val="24"/>
          <w:lang w:val="en"/>
        </w:rPr>
      </w:pPr>
      <w:bookmarkStart w:id="4" w:name="_Hlk63337540"/>
      <w:bookmarkEnd w:id="3"/>
      <w:r w:rsidRPr="00C31691">
        <w:rPr>
          <w:rFonts w:ascii="Arial" w:hAnsi="Arial" w:cs="Arial"/>
          <w:sz w:val="24"/>
          <w:szCs w:val="24"/>
          <w:lang w:val="en-US"/>
        </w:rPr>
        <w:t xml:space="preserve">Option 4 - </w:t>
      </w:r>
      <w:r w:rsidR="00835EB7">
        <w:rPr>
          <w:rFonts w:ascii="Arial" w:hAnsi="Arial" w:cs="Arial"/>
          <w:sz w:val="24"/>
          <w:szCs w:val="24"/>
          <w:lang w:val="en-US"/>
        </w:rPr>
        <w:t>Set</w:t>
      </w:r>
      <w:r w:rsidRPr="00C31691">
        <w:rPr>
          <w:rFonts w:ascii="Arial" w:hAnsi="Arial" w:cs="Arial"/>
          <w:sz w:val="24"/>
          <w:szCs w:val="24"/>
          <w:lang w:val="en-US"/>
        </w:rPr>
        <w:t xml:space="preserve"> a maximum income level </w:t>
      </w:r>
      <w:bookmarkStart w:id="5" w:name="_Hlk63338265"/>
      <w:r w:rsidRPr="00C31691">
        <w:rPr>
          <w:rFonts w:ascii="Arial" w:hAnsi="Arial" w:cs="Arial"/>
          <w:sz w:val="24"/>
          <w:szCs w:val="24"/>
          <w:lang w:val="en-US"/>
        </w:rPr>
        <w:t xml:space="preserve">instead of </w:t>
      </w:r>
      <w:r w:rsidR="00835EB7">
        <w:rPr>
          <w:rFonts w:ascii="Arial" w:hAnsi="Arial" w:cs="Arial"/>
          <w:sz w:val="24"/>
          <w:szCs w:val="24"/>
          <w:lang w:val="en-US"/>
        </w:rPr>
        <w:t>increas</w:t>
      </w:r>
      <w:r w:rsidRPr="00C31691">
        <w:rPr>
          <w:rFonts w:ascii="Arial" w:hAnsi="Arial" w:cs="Arial"/>
          <w:sz w:val="24"/>
          <w:szCs w:val="24"/>
          <w:lang w:val="en-US"/>
        </w:rPr>
        <w:t>ing the cost of living allowance</w:t>
      </w:r>
      <w:bookmarkEnd w:id="5"/>
    </w:p>
    <w:bookmarkEnd w:id="4"/>
    <w:p w14:paraId="17A41A8A" w14:textId="16A66552" w:rsidR="00397525" w:rsidRDefault="008E742F" w:rsidP="00397525">
      <w:pPr>
        <w:spacing w:after="0"/>
        <w:ind w:left="-426" w:right="-330"/>
        <w:rPr>
          <w:rFonts w:ascii="Arial" w:hAnsi="Arial" w:cs="Arial"/>
          <w:sz w:val="24"/>
          <w:szCs w:val="24"/>
          <w:lang w:val="en"/>
        </w:rPr>
      </w:pPr>
      <w:r w:rsidRPr="008E742F">
        <w:rPr>
          <w:rFonts w:ascii="Arial" w:hAnsi="Arial" w:cs="Arial"/>
          <w:sz w:val="24"/>
          <w:szCs w:val="24"/>
          <w:lang w:val="en-US"/>
        </w:rPr>
        <w:t>Option 5 - Increase the cost of living allowance by the same amount of money for everyone</w:t>
      </w:r>
    </w:p>
    <w:p w14:paraId="27C95787" w14:textId="77777777" w:rsidR="008E742F" w:rsidRDefault="008E742F" w:rsidP="00397525">
      <w:pPr>
        <w:spacing w:after="0"/>
        <w:ind w:left="-426" w:right="-330"/>
        <w:rPr>
          <w:rFonts w:ascii="Arial" w:hAnsi="Arial" w:cs="Arial"/>
          <w:sz w:val="24"/>
          <w:szCs w:val="24"/>
          <w:lang w:val="en"/>
        </w:rPr>
      </w:pPr>
    </w:p>
    <w:p w14:paraId="5238F4BE" w14:textId="714586F6" w:rsidR="00055AD3" w:rsidRDefault="00397525" w:rsidP="00397525">
      <w:pPr>
        <w:spacing w:after="0"/>
        <w:ind w:left="-426" w:right="-330"/>
        <w:rPr>
          <w:rFonts w:ascii="Arial" w:hAnsi="Arial" w:cs="Arial"/>
          <w:sz w:val="24"/>
          <w:szCs w:val="24"/>
          <w:lang w:val="en-US"/>
        </w:rPr>
      </w:pPr>
      <w:r w:rsidRPr="00397525">
        <w:rPr>
          <w:rFonts w:ascii="Arial" w:hAnsi="Arial" w:cs="Arial"/>
          <w:sz w:val="24"/>
          <w:szCs w:val="24"/>
          <w:lang w:val="en"/>
        </w:rPr>
        <w:t xml:space="preserve">Option 5 is the council’s </w:t>
      </w:r>
      <w:r w:rsidR="00055AD3" w:rsidRPr="00397525">
        <w:rPr>
          <w:rFonts w:ascii="Arial" w:hAnsi="Arial" w:cs="Arial"/>
          <w:sz w:val="24"/>
          <w:szCs w:val="24"/>
          <w:lang w:val="en-US"/>
        </w:rPr>
        <w:t>preferred option</w:t>
      </w:r>
      <w:r w:rsidR="00AF6A8C">
        <w:rPr>
          <w:rFonts w:ascii="Arial" w:hAnsi="Arial" w:cs="Arial"/>
          <w:sz w:val="24"/>
          <w:szCs w:val="24"/>
          <w:lang w:val="en-US"/>
        </w:rPr>
        <w:t>.</w:t>
      </w:r>
    </w:p>
    <w:p w14:paraId="6FFAA7B2" w14:textId="47405E6D" w:rsidR="00640BBF" w:rsidRDefault="00640BBF" w:rsidP="00397525">
      <w:pPr>
        <w:spacing w:after="0"/>
        <w:ind w:left="-426" w:right="-330"/>
        <w:rPr>
          <w:rFonts w:ascii="Arial" w:hAnsi="Arial" w:cs="Arial"/>
          <w:sz w:val="24"/>
          <w:szCs w:val="24"/>
          <w:lang w:val="en-US"/>
        </w:rPr>
      </w:pPr>
    </w:p>
    <w:p w14:paraId="3329485F" w14:textId="3F259B1D" w:rsidR="008C397F" w:rsidRDefault="008C397F" w:rsidP="00E843CA">
      <w:pPr>
        <w:spacing w:after="0"/>
        <w:ind w:left="-426" w:right="-330"/>
        <w:rPr>
          <w:rFonts w:ascii="Arial" w:hAnsi="Arial" w:cs="Arial"/>
          <w:sz w:val="24"/>
          <w:szCs w:val="24"/>
          <w:lang w:val="en-US"/>
        </w:rPr>
      </w:pPr>
      <w:r>
        <w:rPr>
          <w:rFonts w:ascii="Arial" w:hAnsi="Arial" w:cs="Arial"/>
          <w:sz w:val="24"/>
          <w:szCs w:val="24"/>
          <w:lang w:val="en-US"/>
        </w:rPr>
        <w:t xml:space="preserve">On the </w:t>
      </w:r>
      <w:r w:rsidR="00B8735C">
        <w:rPr>
          <w:rFonts w:ascii="Arial" w:hAnsi="Arial" w:cs="Arial"/>
          <w:sz w:val="24"/>
          <w:szCs w:val="24"/>
          <w:lang w:val="en-US"/>
        </w:rPr>
        <w:t>next</w:t>
      </w:r>
      <w:r>
        <w:rPr>
          <w:rFonts w:ascii="Arial" w:hAnsi="Arial" w:cs="Arial"/>
          <w:sz w:val="24"/>
          <w:szCs w:val="24"/>
          <w:lang w:val="en-US"/>
        </w:rPr>
        <w:t xml:space="preserve"> pages, </w:t>
      </w:r>
      <w:r w:rsidR="003C7E0F">
        <w:rPr>
          <w:rFonts w:ascii="Arial" w:hAnsi="Arial" w:cs="Arial"/>
          <w:sz w:val="24"/>
          <w:szCs w:val="24"/>
          <w:lang w:val="en-US"/>
        </w:rPr>
        <w:t>t</w:t>
      </w:r>
      <w:r w:rsidR="00640BBF">
        <w:rPr>
          <w:rFonts w:ascii="Arial" w:hAnsi="Arial" w:cs="Arial"/>
          <w:sz w:val="24"/>
          <w:szCs w:val="24"/>
          <w:lang w:val="en-US"/>
        </w:rPr>
        <w:t>he</w:t>
      </w:r>
      <w:r w:rsidR="003C7E0F">
        <w:rPr>
          <w:rFonts w:ascii="Arial" w:hAnsi="Arial" w:cs="Arial"/>
          <w:sz w:val="24"/>
          <w:szCs w:val="24"/>
          <w:lang w:val="en-US"/>
        </w:rPr>
        <w:t xml:space="preserve"> </w:t>
      </w:r>
      <w:r w:rsidR="00FA71BE">
        <w:rPr>
          <w:rFonts w:ascii="Arial" w:hAnsi="Arial" w:cs="Arial"/>
          <w:sz w:val="24"/>
          <w:szCs w:val="24"/>
          <w:lang w:val="en-US"/>
        </w:rPr>
        <w:t xml:space="preserve">possible </w:t>
      </w:r>
      <w:r w:rsidR="003C7E0F">
        <w:rPr>
          <w:rFonts w:ascii="Arial" w:hAnsi="Arial" w:cs="Arial"/>
          <w:sz w:val="24"/>
          <w:szCs w:val="24"/>
          <w:lang w:val="en-US"/>
        </w:rPr>
        <w:t xml:space="preserve">financial impact </w:t>
      </w:r>
      <w:r w:rsidR="00FA71BE">
        <w:rPr>
          <w:rFonts w:ascii="Arial" w:hAnsi="Arial" w:cs="Arial"/>
          <w:sz w:val="24"/>
          <w:szCs w:val="24"/>
          <w:lang w:val="en-US"/>
        </w:rPr>
        <w:t xml:space="preserve">of the </w:t>
      </w:r>
      <w:r w:rsidR="003C7E0F">
        <w:rPr>
          <w:rFonts w:ascii="Arial" w:hAnsi="Arial" w:cs="Arial"/>
          <w:sz w:val="24"/>
          <w:szCs w:val="24"/>
          <w:lang w:val="en-US"/>
        </w:rPr>
        <w:t>option</w:t>
      </w:r>
      <w:r w:rsidR="00FA71BE">
        <w:rPr>
          <w:rFonts w:ascii="Arial" w:hAnsi="Arial" w:cs="Arial"/>
          <w:sz w:val="24"/>
          <w:szCs w:val="24"/>
          <w:lang w:val="en-US"/>
        </w:rPr>
        <w:t>s</w:t>
      </w:r>
      <w:r w:rsidR="00091A09">
        <w:rPr>
          <w:rFonts w:ascii="Arial" w:hAnsi="Arial" w:cs="Arial"/>
          <w:sz w:val="24"/>
          <w:szCs w:val="24"/>
          <w:lang w:val="en-US"/>
        </w:rPr>
        <w:t xml:space="preserve"> is</w:t>
      </w:r>
      <w:r w:rsidR="003C7E0F">
        <w:rPr>
          <w:rFonts w:ascii="Arial" w:hAnsi="Arial" w:cs="Arial"/>
          <w:sz w:val="24"/>
          <w:szCs w:val="24"/>
          <w:lang w:val="en-US"/>
        </w:rPr>
        <w:t xml:space="preserve"> shown</w:t>
      </w:r>
      <w:bookmarkEnd w:id="2"/>
      <w:r>
        <w:rPr>
          <w:rFonts w:ascii="Arial" w:hAnsi="Arial" w:cs="Arial"/>
          <w:sz w:val="24"/>
          <w:szCs w:val="24"/>
          <w:lang w:val="en-US"/>
        </w:rPr>
        <w:t xml:space="preserve"> </w:t>
      </w:r>
      <w:r w:rsidR="003C7E0F">
        <w:rPr>
          <w:rFonts w:ascii="Arial" w:hAnsi="Arial" w:cs="Arial"/>
          <w:sz w:val="24"/>
          <w:szCs w:val="24"/>
          <w:lang w:val="en-US"/>
        </w:rPr>
        <w:t>for people who are</w:t>
      </w:r>
      <w:r>
        <w:rPr>
          <w:rFonts w:ascii="Arial" w:hAnsi="Arial" w:cs="Arial"/>
          <w:sz w:val="24"/>
          <w:szCs w:val="24"/>
          <w:lang w:val="en-US"/>
        </w:rPr>
        <w:t>:</w:t>
      </w:r>
    </w:p>
    <w:p w14:paraId="2651EE82" w14:textId="5B19C70D" w:rsidR="008C397F" w:rsidRDefault="008C397F" w:rsidP="008C397F">
      <w:pPr>
        <w:pStyle w:val="ListParagraph"/>
        <w:numPr>
          <w:ilvl w:val="0"/>
          <w:numId w:val="7"/>
        </w:numPr>
        <w:spacing w:after="0"/>
        <w:ind w:right="-330"/>
        <w:rPr>
          <w:rFonts w:ascii="Arial" w:hAnsi="Arial" w:cs="Arial"/>
          <w:sz w:val="24"/>
          <w:szCs w:val="24"/>
          <w:lang w:val="en-US"/>
        </w:rPr>
      </w:pPr>
      <w:r w:rsidRPr="0079206C">
        <w:rPr>
          <w:rFonts w:ascii="Arial" w:hAnsi="Arial" w:cs="Arial"/>
          <w:sz w:val="24"/>
          <w:szCs w:val="24"/>
          <w:lang w:val="en-US"/>
        </w:rPr>
        <w:t>over pension age</w:t>
      </w:r>
      <w:r>
        <w:rPr>
          <w:rFonts w:ascii="Arial" w:hAnsi="Arial" w:cs="Arial"/>
          <w:sz w:val="24"/>
          <w:szCs w:val="24"/>
          <w:lang w:val="en-US"/>
        </w:rPr>
        <w:t xml:space="preserve"> </w:t>
      </w:r>
    </w:p>
    <w:p w14:paraId="3037CA05" w14:textId="1F393B70" w:rsidR="008C397F" w:rsidRDefault="008C397F" w:rsidP="008C397F">
      <w:pPr>
        <w:pStyle w:val="ListParagraph"/>
        <w:numPr>
          <w:ilvl w:val="0"/>
          <w:numId w:val="7"/>
        </w:numPr>
        <w:spacing w:after="0"/>
        <w:ind w:right="-330"/>
        <w:rPr>
          <w:rFonts w:ascii="Arial" w:hAnsi="Arial" w:cs="Arial"/>
          <w:sz w:val="24"/>
          <w:szCs w:val="24"/>
          <w:lang w:val="en-US"/>
        </w:rPr>
      </w:pPr>
      <w:r>
        <w:rPr>
          <w:rFonts w:ascii="Arial" w:hAnsi="Arial" w:cs="Arial"/>
          <w:sz w:val="24"/>
          <w:szCs w:val="24"/>
          <w:lang w:val="en-US"/>
        </w:rPr>
        <w:t xml:space="preserve">aged between 25 and pension age </w:t>
      </w:r>
      <w:bookmarkStart w:id="6" w:name="_Hlk63334373"/>
      <w:r>
        <w:rPr>
          <w:rFonts w:ascii="Arial" w:hAnsi="Arial" w:cs="Arial"/>
          <w:sz w:val="24"/>
          <w:szCs w:val="24"/>
          <w:lang w:val="en-US"/>
        </w:rPr>
        <w:t xml:space="preserve">(including people who </w:t>
      </w:r>
      <w:r w:rsidR="00AF6A8C">
        <w:rPr>
          <w:rFonts w:ascii="Arial" w:hAnsi="Arial" w:cs="Arial"/>
          <w:sz w:val="24"/>
          <w:szCs w:val="24"/>
          <w:lang w:val="en-US"/>
        </w:rPr>
        <w:t xml:space="preserve">are </w:t>
      </w:r>
      <w:r>
        <w:rPr>
          <w:rFonts w:ascii="Arial" w:hAnsi="Arial" w:cs="Arial"/>
          <w:sz w:val="24"/>
          <w:szCs w:val="24"/>
          <w:lang w:val="en-US"/>
        </w:rPr>
        <w:t xml:space="preserve">severely disabled), </w:t>
      </w:r>
      <w:bookmarkEnd w:id="6"/>
      <w:r>
        <w:rPr>
          <w:rFonts w:ascii="Arial" w:hAnsi="Arial" w:cs="Arial"/>
          <w:sz w:val="24"/>
          <w:szCs w:val="24"/>
          <w:lang w:val="en-US"/>
        </w:rPr>
        <w:t xml:space="preserve">and  </w:t>
      </w:r>
    </w:p>
    <w:p w14:paraId="674DDEA8" w14:textId="7667A79F" w:rsidR="008C397F" w:rsidRDefault="008C397F" w:rsidP="008C397F">
      <w:pPr>
        <w:pStyle w:val="ListParagraph"/>
        <w:numPr>
          <w:ilvl w:val="0"/>
          <w:numId w:val="7"/>
        </w:numPr>
        <w:spacing w:after="0"/>
        <w:ind w:right="-330"/>
        <w:rPr>
          <w:rFonts w:ascii="Arial" w:hAnsi="Arial" w:cs="Arial"/>
          <w:sz w:val="24"/>
          <w:szCs w:val="24"/>
          <w:lang w:val="en-US"/>
        </w:rPr>
      </w:pPr>
      <w:r>
        <w:rPr>
          <w:rFonts w:ascii="Arial" w:hAnsi="Arial" w:cs="Arial"/>
          <w:sz w:val="24"/>
          <w:szCs w:val="24"/>
          <w:lang w:val="en-US"/>
        </w:rPr>
        <w:t xml:space="preserve">aged under 25 (including people who </w:t>
      </w:r>
      <w:r w:rsidR="00951C56">
        <w:rPr>
          <w:rFonts w:ascii="Arial" w:hAnsi="Arial" w:cs="Arial"/>
          <w:sz w:val="24"/>
          <w:szCs w:val="24"/>
          <w:lang w:val="en-US"/>
        </w:rPr>
        <w:t xml:space="preserve">are </w:t>
      </w:r>
      <w:r>
        <w:rPr>
          <w:rFonts w:ascii="Arial" w:hAnsi="Arial" w:cs="Arial"/>
          <w:sz w:val="24"/>
          <w:szCs w:val="24"/>
          <w:lang w:val="en-US"/>
        </w:rPr>
        <w:t>severely disabled)</w:t>
      </w:r>
    </w:p>
    <w:p w14:paraId="2B1F3DAA" w14:textId="77777777" w:rsidR="008C397F" w:rsidRDefault="008C397F" w:rsidP="00E843CA">
      <w:pPr>
        <w:spacing w:after="0"/>
        <w:ind w:left="-426" w:right="-330"/>
        <w:rPr>
          <w:rFonts w:ascii="Arial" w:hAnsi="Arial" w:cs="Arial"/>
          <w:sz w:val="24"/>
          <w:szCs w:val="24"/>
          <w:lang w:val="en-US"/>
        </w:rPr>
      </w:pPr>
    </w:p>
    <w:p w14:paraId="0754E52D" w14:textId="0896234B" w:rsidR="00E843CA" w:rsidRPr="00E35C8A" w:rsidRDefault="003C7E0F" w:rsidP="00E843CA">
      <w:pPr>
        <w:spacing w:after="0"/>
        <w:ind w:left="-426" w:right="-330"/>
        <w:rPr>
          <w:rFonts w:ascii="Arial" w:hAnsi="Arial" w:cs="Arial"/>
          <w:sz w:val="24"/>
          <w:szCs w:val="24"/>
          <w:lang w:val="en"/>
        </w:rPr>
      </w:pPr>
      <w:r>
        <w:rPr>
          <w:rFonts w:ascii="Arial" w:hAnsi="Arial" w:cs="Arial"/>
          <w:sz w:val="24"/>
          <w:szCs w:val="24"/>
          <w:lang w:val="en-US"/>
        </w:rPr>
        <w:t xml:space="preserve">This </w:t>
      </w:r>
      <w:r w:rsidR="00A3585C">
        <w:rPr>
          <w:rFonts w:ascii="Arial" w:hAnsi="Arial" w:cs="Arial"/>
          <w:sz w:val="24"/>
          <w:szCs w:val="24"/>
          <w:lang w:val="en-US"/>
        </w:rPr>
        <w:t>takes into account a recent court case</w:t>
      </w:r>
      <w:r w:rsidR="005D0025">
        <w:rPr>
          <w:rFonts w:ascii="Arial" w:hAnsi="Arial" w:cs="Arial"/>
          <w:sz w:val="24"/>
          <w:szCs w:val="24"/>
          <w:lang w:val="en-US"/>
        </w:rPr>
        <w:t xml:space="preserve"> highlighting the need to consider the impact on people who </w:t>
      </w:r>
      <w:r w:rsidR="00951C56">
        <w:rPr>
          <w:rFonts w:ascii="Arial" w:hAnsi="Arial" w:cs="Arial"/>
          <w:sz w:val="24"/>
          <w:szCs w:val="24"/>
          <w:lang w:val="en-US"/>
        </w:rPr>
        <w:t xml:space="preserve">are </w:t>
      </w:r>
      <w:r w:rsidR="005D0025">
        <w:rPr>
          <w:rFonts w:ascii="Arial" w:hAnsi="Arial" w:cs="Arial"/>
          <w:sz w:val="24"/>
          <w:szCs w:val="24"/>
          <w:lang w:val="en-US"/>
        </w:rPr>
        <w:t xml:space="preserve">classed as </w:t>
      </w:r>
      <w:bookmarkStart w:id="7" w:name="_Hlk63334672"/>
      <w:r w:rsidR="005D0025">
        <w:rPr>
          <w:rFonts w:ascii="Arial" w:hAnsi="Arial" w:cs="Arial"/>
          <w:sz w:val="24"/>
          <w:szCs w:val="24"/>
          <w:lang w:val="en-US"/>
        </w:rPr>
        <w:t xml:space="preserve">‘severely disabled.’ </w:t>
      </w:r>
      <w:bookmarkEnd w:id="7"/>
      <w:r w:rsidR="005D0025">
        <w:rPr>
          <w:rFonts w:ascii="Arial" w:hAnsi="Arial" w:cs="Arial"/>
          <w:sz w:val="24"/>
          <w:szCs w:val="24"/>
          <w:lang w:val="en-US"/>
        </w:rPr>
        <w:t xml:space="preserve">In line with </w:t>
      </w:r>
      <w:r w:rsidR="00951C56">
        <w:rPr>
          <w:rFonts w:ascii="Arial" w:hAnsi="Arial" w:cs="Arial"/>
          <w:sz w:val="24"/>
          <w:szCs w:val="24"/>
          <w:lang w:val="en-US"/>
        </w:rPr>
        <w:t xml:space="preserve">this, </w:t>
      </w:r>
      <w:r w:rsidR="00A3585C" w:rsidRPr="00E35C8A">
        <w:rPr>
          <w:rFonts w:ascii="Arial" w:hAnsi="Arial" w:cs="Arial"/>
          <w:sz w:val="24"/>
          <w:szCs w:val="24"/>
          <w:lang w:val="en-US"/>
        </w:rPr>
        <w:t xml:space="preserve">we are counting people who </w:t>
      </w:r>
      <w:r w:rsidR="005D0025">
        <w:rPr>
          <w:rFonts w:ascii="Arial" w:hAnsi="Arial" w:cs="Arial"/>
          <w:sz w:val="24"/>
          <w:szCs w:val="24"/>
          <w:lang w:val="en-US"/>
        </w:rPr>
        <w:t>receive</w:t>
      </w:r>
      <w:r w:rsidR="00A3585C" w:rsidRPr="00E35C8A">
        <w:rPr>
          <w:rFonts w:ascii="Arial" w:hAnsi="Arial" w:cs="Arial"/>
          <w:sz w:val="24"/>
          <w:szCs w:val="24"/>
          <w:lang w:val="en-US"/>
        </w:rPr>
        <w:t xml:space="preserve"> high rate DLA (Care) or high rate PIP (Care) as </w:t>
      </w:r>
      <w:r w:rsidR="005D0025">
        <w:rPr>
          <w:rFonts w:ascii="Arial" w:hAnsi="Arial" w:cs="Arial"/>
          <w:sz w:val="24"/>
          <w:szCs w:val="24"/>
          <w:lang w:val="en-US"/>
        </w:rPr>
        <w:t xml:space="preserve">‘severely disabled.’ </w:t>
      </w:r>
      <w:r w:rsidR="00E843CA" w:rsidRPr="00E35C8A">
        <w:rPr>
          <w:rFonts w:ascii="Arial" w:hAnsi="Arial" w:cs="Arial"/>
          <w:sz w:val="24"/>
          <w:szCs w:val="24"/>
          <w:lang w:val="en-US"/>
        </w:rPr>
        <w:br w:type="page"/>
      </w:r>
    </w:p>
    <w:p w14:paraId="4012D09A" w14:textId="77777777" w:rsidR="00E35C8A" w:rsidRDefault="00055AD3" w:rsidP="00E35C8A">
      <w:pPr>
        <w:spacing w:after="0"/>
        <w:ind w:left="-426" w:right="-330"/>
        <w:rPr>
          <w:rFonts w:ascii="Arial" w:hAnsi="Arial" w:cs="Arial"/>
          <w:b/>
          <w:bCs/>
          <w:sz w:val="24"/>
          <w:szCs w:val="24"/>
          <w:lang w:val="en"/>
        </w:rPr>
      </w:pPr>
      <w:r w:rsidRPr="00C01D4F">
        <w:rPr>
          <w:rFonts w:ascii="Arial" w:hAnsi="Arial" w:cs="Arial"/>
          <w:b/>
          <w:bCs/>
          <w:sz w:val="24"/>
          <w:szCs w:val="24"/>
          <w:lang w:val="en-US"/>
        </w:rPr>
        <w:lastRenderedPageBreak/>
        <w:t xml:space="preserve">Option 1 </w:t>
      </w:r>
      <w:r w:rsidR="00835EB7" w:rsidRPr="00C01D4F">
        <w:rPr>
          <w:rFonts w:ascii="Arial" w:hAnsi="Arial" w:cs="Arial"/>
          <w:b/>
          <w:bCs/>
          <w:sz w:val="24"/>
          <w:szCs w:val="24"/>
          <w:lang w:val="en-US"/>
        </w:rPr>
        <w:t>–</w:t>
      </w:r>
      <w:r w:rsidRPr="00C01D4F">
        <w:rPr>
          <w:rFonts w:ascii="Arial" w:hAnsi="Arial" w:cs="Arial"/>
          <w:b/>
          <w:bCs/>
          <w:sz w:val="24"/>
          <w:szCs w:val="24"/>
          <w:lang w:val="en-US"/>
        </w:rPr>
        <w:t xml:space="preserve"> </w:t>
      </w:r>
      <w:r w:rsidR="00835EB7" w:rsidRPr="00C01D4F">
        <w:rPr>
          <w:rFonts w:ascii="Arial" w:hAnsi="Arial" w:cs="Arial"/>
          <w:b/>
          <w:bCs/>
          <w:sz w:val="24"/>
          <w:szCs w:val="24"/>
          <w:lang w:val="en-US"/>
        </w:rPr>
        <w:t xml:space="preserve">Increase </w:t>
      </w:r>
      <w:r w:rsidRPr="00C01D4F">
        <w:rPr>
          <w:rFonts w:ascii="Arial" w:hAnsi="Arial" w:cs="Arial"/>
          <w:b/>
          <w:bCs/>
          <w:sz w:val="24"/>
          <w:szCs w:val="24"/>
          <w:lang w:val="en-US"/>
        </w:rPr>
        <w:t xml:space="preserve">the cost of living allowance based on </w:t>
      </w:r>
      <w:r w:rsidR="002A115F" w:rsidRPr="00C01D4F">
        <w:rPr>
          <w:rFonts w:ascii="Arial" w:hAnsi="Arial" w:cs="Arial"/>
          <w:b/>
          <w:bCs/>
          <w:sz w:val="24"/>
          <w:szCs w:val="24"/>
          <w:lang w:val="en-US"/>
        </w:rPr>
        <w:t>age</w:t>
      </w:r>
    </w:p>
    <w:p w14:paraId="2B687FF9" w14:textId="77777777" w:rsidR="00E35C8A" w:rsidRDefault="00E35C8A" w:rsidP="00E35C8A">
      <w:pPr>
        <w:spacing w:after="0"/>
        <w:ind w:left="-426" w:right="-330"/>
        <w:rPr>
          <w:rFonts w:ascii="Arial" w:hAnsi="Arial" w:cs="Arial"/>
          <w:b/>
          <w:bCs/>
          <w:sz w:val="24"/>
          <w:szCs w:val="24"/>
          <w:lang w:val="en"/>
        </w:rPr>
      </w:pPr>
    </w:p>
    <w:p w14:paraId="401F2329" w14:textId="77D32201" w:rsidR="002A115F" w:rsidRPr="00E35C8A" w:rsidRDefault="002A115F" w:rsidP="00E35C8A">
      <w:pPr>
        <w:spacing w:after="0"/>
        <w:ind w:left="-426" w:right="-330"/>
        <w:rPr>
          <w:rFonts w:ascii="Arial" w:hAnsi="Arial" w:cs="Arial"/>
          <w:b/>
          <w:bCs/>
          <w:sz w:val="24"/>
          <w:szCs w:val="24"/>
          <w:lang w:val="en"/>
        </w:rPr>
      </w:pPr>
      <w:r>
        <w:rPr>
          <w:rFonts w:ascii="Arial" w:hAnsi="Arial" w:cs="Arial"/>
          <w:sz w:val="24"/>
          <w:szCs w:val="24"/>
          <w:lang w:val="en-US"/>
        </w:rPr>
        <w:t xml:space="preserve">The </w:t>
      </w:r>
      <w:r w:rsidR="00835EB7">
        <w:rPr>
          <w:rFonts w:ascii="Arial" w:hAnsi="Arial" w:cs="Arial"/>
          <w:sz w:val="24"/>
          <w:szCs w:val="24"/>
          <w:lang w:val="en-US"/>
        </w:rPr>
        <w:t>m</w:t>
      </w:r>
      <w:r>
        <w:rPr>
          <w:rFonts w:ascii="Arial" w:hAnsi="Arial" w:cs="Arial"/>
          <w:sz w:val="24"/>
          <w:szCs w:val="24"/>
          <w:lang w:val="en-US"/>
        </w:rPr>
        <w:t xml:space="preserve">inimum </w:t>
      </w:r>
      <w:r w:rsidR="00835EB7">
        <w:rPr>
          <w:rFonts w:ascii="Arial" w:hAnsi="Arial" w:cs="Arial"/>
          <w:sz w:val="24"/>
          <w:szCs w:val="24"/>
          <w:lang w:val="en-US"/>
        </w:rPr>
        <w:t>i</w:t>
      </w:r>
      <w:r>
        <w:rPr>
          <w:rFonts w:ascii="Arial" w:hAnsi="Arial" w:cs="Arial"/>
          <w:sz w:val="24"/>
          <w:szCs w:val="24"/>
          <w:lang w:val="en-US"/>
        </w:rPr>
        <w:t xml:space="preserve">ncome </w:t>
      </w:r>
      <w:r w:rsidR="00835EB7">
        <w:rPr>
          <w:rFonts w:ascii="Arial" w:hAnsi="Arial" w:cs="Arial"/>
          <w:sz w:val="24"/>
          <w:szCs w:val="24"/>
          <w:lang w:val="en-US"/>
        </w:rPr>
        <w:t>g</w:t>
      </w:r>
      <w:r>
        <w:rPr>
          <w:rFonts w:ascii="Arial" w:hAnsi="Arial" w:cs="Arial"/>
          <w:sz w:val="24"/>
          <w:szCs w:val="24"/>
          <w:lang w:val="en-US"/>
        </w:rPr>
        <w:t>uarantee is lower for y</w:t>
      </w:r>
      <w:r w:rsidR="00055AD3" w:rsidRPr="00C31691">
        <w:rPr>
          <w:rFonts w:ascii="Arial" w:hAnsi="Arial" w:cs="Arial"/>
          <w:sz w:val="24"/>
          <w:szCs w:val="24"/>
          <w:lang w:val="en-US"/>
        </w:rPr>
        <w:t xml:space="preserve">ounger adults (aged 25 and under) than </w:t>
      </w:r>
      <w:r>
        <w:rPr>
          <w:rFonts w:ascii="Arial" w:hAnsi="Arial" w:cs="Arial"/>
          <w:sz w:val="24"/>
          <w:szCs w:val="24"/>
          <w:lang w:val="en-US"/>
        </w:rPr>
        <w:t xml:space="preserve">it is for </w:t>
      </w:r>
      <w:r w:rsidR="00055AD3" w:rsidRPr="00C31691">
        <w:rPr>
          <w:rFonts w:ascii="Arial" w:hAnsi="Arial" w:cs="Arial"/>
          <w:sz w:val="24"/>
          <w:szCs w:val="24"/>
          <w:lang w:val="en-US"/>
        </w:rPr>
        <w:t xml:space="preserve">most </w:t>
      </w:r>
      <w:r>
        <w:rPr>
          <w:rFonts w:ascii="Arial" w:hAnsi="Arial" w:cs="Arial"/>
          <w:sz w:val="24"/>
          <w:szCs w:val="24"/>
          <w:lang w:val="en-US"/>
        </w:rPr>
        <w:t>people</w:t>
      </w:r>
      <w:r w:rsidR="00055AD3" w:rsidRPr="00C31691">
        <w:rPr>
          <w:rFonts w:ascii="Arial" w:hAnsi="Arial" w:cs="Arial"/>
          <w:sz w:val="24"/>
          <w:szCs w:val="24"/>
          <w:lang w:val="en-US"/>
        </w:rPr>
        <w:t xml:space="preserve">. </w:t>
      </w:r>
      <w:r w:rsidR="00A93C17">
        <w:rPr>
          <w:rFonts w:ascii="Arial" w:hAnsi="Arial" w:cs="Arial"/>
          <w:sz w:val="24"/>
          <w:szCs w:val="24"/>
          <w:lang w:val="en-US"/>
        </w:rPr>
        <w:t>Option 1</w:t>
      </w:r>
      <w:r w:rsidR="00055AD3" w:rsidRPr="00C31691">
        <w:rPr>
          <w:rFonts w:ascii="Arial" w:hAnsi="Arial" w:cs="Arial"/>
          <w:sz w:val="24"/>
          <w:szCs w:val="24"/>
          <w:lang w:val="en-US"/>
        </w:rPr>
        <w:t xml:space="preserve"> would help us </w:t>
      </w:r>
      <w:r>
        <w:rPr>
          <w:rFonts w:ascii="Arial" w:hAnsi="Arial" w:cs="Arial"/>
          <w:sz w:val="24"/>
          <w:szCs w:val="24"/>
          <w:lang w:val="en-US"/>
        </w:rPr>
        <w:t xml:space="preserve">to </w:t>
      </w:r>
      <w:r w:rsidR="00055AD3" w:rsidRPr="00C31691">
        <w:rPr>
          <w:rFonts w:ascii="Arial" w:hAnsi="Arial" w:cs="Arial"/>
          <w:sz w:val="24"/>
          <w:szCs w:val="24"/>
          <w:lang w:val="en-US"/>
        </w:rPr>
        <w:t>make </w:t>
      </w:r>
      <w:r>
        <w:rPr>
          <w:rFonts w:ascii="Arial" w:hAnsi="Arial" w:cs="Arial"/>
          <w:sz w:val="24"/>
          <w:szCs w:val="24"/>
          <w:lang w:val="en-US"/>
        </w:rPr>
        <w:t>it</w:t>
      </w:r>
      <w:r w:rsidR="00055AD3" w:rsidRPr="00C31691">
        <w:rPr>
          <w:rFonts w:ascii="Arial" w:hAnsi="Arial" w:cs="Arial"/>
          <w:sz w:val="24"/>
          <w:szCs w:val="24"/>
          <w:lang w:val="en-US"/>
        </w:rPr>
        <w:t xml:space="preserve"> fairer by introducing </w:t>
      </w:r>
      <w:r>
        <w:rPr>
          <w:rFonts w:ascii="Arial" w:hAnsi="Arial" w:cs="Arial"/>
          <w:sz w:val="24"/>
          <w:szCs w:val="24"/>
          <w:lang w:val="en-US"/>
        </w:rPr>
        <w:t xml:space="preserve">cost of living </w:t>
      </w:r>
      <w:r w:rsidR="00055AD3" w:rsidRPr="00C31691">
        <w:rPr>
          <w:rFonts w:ascii="Arial" w:hAnsi="Arial" w:cs="Arial"/>
          <w:sz w:val="24"/>
          <w:szCs w:val="24"/>
          <w:lang w:val="en-US"/>
        </w:rPr>
        <w:t>allowances at different age bands</w:t>
      </w:r>
      <w:r>
        <w:rPr>
          <w:rFonts w:ascii="Arial" w:hAnsi="Arial" w:cs="Arial"/>
          <w:sz w:val="24"/>
          <w:szCs w:val="24"/>
          <w:lang w:val="en-US"/>
        </w:rPr>
        <w:t xml:space="preserve">. We would provide a </w:t>
      </w:r>
      <w:r w:rsidR="00055AD3" w:rsidRPr="00C31691">
        <w:rPr>
          <w:rFonts w:ascii="Arial" w:hAnsi="Arial" w:cs="Arial"/>
          <w:sz w:val="24"/>
          <w:szCs w:val="24"/>
          <w:lang w:val="en-US"/>
        </w:rPr>
        <w:t xml:space="preserve">bigger increase to people </w:t>
      </w:r>
      <w:proofErr w:type="gramStart"/>
      <w:r>
        <w:rPr>
          <w:rFonts w:ascii="Arial" w:hAnsi="Arial" w:cs="Arial"/>
          <w:sz w:val="24"/>
          <w:szCs w:val="24"/>
          <w:lang w:val="en-US"/>
        </w:rPr>
        <w:t>under</w:t>
      </w:r>
      <w:proofErr w:type="gramEnd"/>
      <w:r>
        <w:rPr>
          <w:rFonts w:ascii="Arial" w:hAnsi="Arial" w:cs="Arial"/>
          <w:sz w:val="24"/>
          <w:szCs w:val="24"/>
          <w:lang w:val="en-US"/>
        </w:rPr>
        <w:t xml:space="preserve"> 25 and others </w:t>
      </w:r>
      <w:r w:rsidR="00055AD3" w:rsidRPr="00C31691">
        <w:rPr>
          <w:rFonts w:ascii="Arial" w:hAnsi="Arial" w:cs="Arial"/>
          <w:sz w:val="24"/>
          <w:szCs w:val="24"/>
          <w:lang w:val="en-US"/>
        </w:rPr>
        <w:t>with the lowest benefit premiums.</w:t>
      </w:r>
    </w:p>
    <w:p w14:paraId="64A92AFA" w14:textId="77777777" w:rsidR="00E35C8A" w:rsidRDefault="00E35C8A" w:rsidP="00055AD3">
      <w:pPr>
        <w:spacing w:after="0"/>
        <w:ind w:left="-426" w:right="-330"/>
        <w:rPr>
          <w:rFonts w:ascii="Arial" w:hAnsi="Arial" w:cs="Arial"/>
          <w:sz w:val="24"/>
          <w:szCs w:val="24"/>
          <w:lang w:val="en-US"/>
        </w:rPr>
      </w:pPr>
    </w:p>
    <w:p w14:paraId="1AF969C7" w14:textId="41162820" w:rsidR="00E35C8A" w:rsidRDefault="00E35C8A" w:rsidP="00E35C8A">
      <w:pPr>
        <w:spacing w:after="0"/>
        <w:ind w:left="-426" w:right="-330"/>
        <w:rPr>
          <w:rFonts w:ascii="Arial" w:hAnsi="Arial" w:cs="Arial"/>
          <w:sz w:val="24"/>
          <w:szCs w:val="24"/>
          <w:lang w:val="en-US"/>
        </w:rPr>
      </w:pPr>
      <w:r>
        <w:rPr>
          <w:noProof/>
          <w:lang w:eastAsia="en-GB"/>
        </w:rPr>
        <w:drawing>
          <wp:anchor distT="0" distB="0" distL="114300" distR="114300" simplePos="0" relativeHeight="251660288" behindDoc="1" locked="0" layoutInCell="1" allowOverlap="1" wp14:anchorId="361C1E1E" wp14:editId="3F26B5C4">
            <wp:simplePos x="0" y="0"/>
            <wp:positionH relativeFrom="column">
              <wp:posOffset>1371600</wp:posOffset>
            </wp:positionH>
            <wp:positionV relativeFrom="paragraph">
              <wp:posOffset>2524</wp:posOffset>
            </wp:positionV>
            <wp:extent cx="4572000" cy="2743200"/>
            <wp:effectExtent l="0" t="0" r="0" b="0"/>
            <wp:wrapTight wrapText="bothSides">
              <wp:wrapPolygon edited="0">
                <wp:start x="0" y="0"/>
                <wp:lineTo x="0" y="21450"/>
                <wp:lineTo x="21510" y="21450"/>
                <wp:lineTo x="21510" y="0"/>
                <wp:lineTo x="0" y="0"/>
              </wp:wrapPolygon>
            </wp:wrapTight>
            <wp:docPr id="2" name="Chart 2">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25B57C-5696-4B51-8DCB-AF5BCB6E7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bookmarkStart w:id="8" w:name="_Hlk63335692"/>
      <w:r w:rsidR="00B8735C" w:rsidRPr="00C01D4F">
        <w:rPr>
          <w:rFonts w:ascii="Arial" w:hAnsi="Arial" w:cs="Arial"/>
          <w:sz w:val="24"/>
          <w:szCs w:val="24"/>
          <w:lang w:val="en-US"/>
        </w:rPr>
        <w:t>T</w:t>
      </w:r>
      <w:bookmarkStart w:id="9" w:name="_Hlk63436201"/>
      <w:r w:rsidR="00B8735C" w:rsidRPr="00C01D4F">
        <w:rPr>
          <w:rFonts w:ascii="Arial" w:hAnsi="Arial" w:cs="Arial"/>
          <w:sz w:val="24"/>
          <w:szCs w:val="24"/>
          <w:lang w:val="en-US"/>
        </w:rPr>
        <w:t xml:space="preserve">his </w:t>
      </w:r>
      <w:bookmarkStart w:id="10" w:name="_Hlk63436608"/>
      <w:r w:rsidR="00B8735C" w:rsidRPr="00C01D4F">
        <w:rPr>
          <w:rFonts w:ascii="Arial" w:hAnsi="Arial" w:cs="Arial"/>
          <w:sz w:val="24"/>
          <w:szCs w:val="24"/>
          <w:lang w:val="en-US"/>
        </w:rPr>
        <w:t xml:space="preserve">graph </w:t>
      </w:r>
      <w:r w:rsidR="00413EAE">
        <w:rPr>
          <w:rFonts w:ascii="Arial" w:hAnsi="Arial" w:cs="Arial"/>
          <w:sz w:val="24"/>
          <w:szCs w:val="24"/>
          <w:lang w:val="en-US"/>
        </w:rPr>
        <w:t xml:space="preserve">illustrates </w:t>
      </w:r>
      <w:r w:rsidR="000F381C">
        <w:rPr>
          <w:rFonts w:ascii="Arial" w:hAnsi="Arial" w:cs="Arial"/>
          <w:sz w:val="24"/>
          <w:szCs w:val="24"/>
          <w:lang w:val="en-US"/>
        </w:rPr>
        <w:t>what</w:t>
      </w:r>
      <w:r w:rsidR="00B8735C" w:rsidRPr="00C01D4F">
        <w:rPr>
          <w:rFonts w:ascii="Arial" w:hAnsi="Arial" w:cs="Arial"/>
          <w:sz w:val="24"/>
          <w:szCs w:val="24"/>
          <w:lang w:val="en-US"/>
        </w:rPr>
        <w:t xml:space="preserve"> option </w:t>
      </w:r>
      <w:r w:rsidR="00B8735C">
        <w:rPr>
          <w:rFonts w:ascii="Arial" w:hAnsi="Arial" w:cs="Arial"/>
          <w:sz w:val="24"/>
          <w:szCs w:val="24"/>
          <w:lang w:val="en-US"/>
        </w:rPr>
        <w:t>1</w:t>
      </w:r>
      <w:r w:rsidR="00B8735C" w:rsidRPr="00C01D4F">
        <w:rPr>
          <w:rFonts w:ascii="Arial" w:hAnsi="Arial" w:cs="Arial"/>
          <w:sz w:val="24"/>
          <w:szCs w:val="24"/>
          <w:lang w:val="en-US"/>
        </w:rPr>
        <w:t xml:space="preserve"> </w:t>
      </w:r>
      <w:r w:rsidR="00413EAE">
        <w:rPr>
          <w:rFonts w:ascii="Arial" w:hAnsi="Arial" w:cs="Arial"/>
          <w:sz w:val="24"/>
          <w:szCs w:val="24"/>
          <w:lang w:val="en-US"/>
        </w:rPr>
        <w:t xml:space="preserve">might mean for </w:t>
      </w:r>
      <w:r w:rsidR="000F381C">
        <w:rPr>
          <w:rFonts w:ascii="Arial" w:hAnsi="Arial" w:cs="Arial"/>
          <w:sz w:val="24"/>
          <w:szCs w:val="24"/>
          <w:lang w:val="en-US"/>
        </w:rPr>
        <w:t xml:space="preserve">different groups of </w:t>
      </w:r>
      <w:r w:rsidR="00413EAE">
        <w:rPr>
          <w:rFonts w:ascii="Arial" w:hAnsi="Arial" w:cs="Arial"/>
          <w:sz w:val="24"/>
          <w:szCs w:val="24"/>
          <w:lang w:val="en-US"/>
        </w:rPr>
        <w:t>people</w:t>
      </w:r>
      <w:r w:rsidR="00B8735C">
        <w:rPr>
          <w:rFonts w:ascii="Arial" w:hAnsi="Arial" w:cs="Arial"/>
          <w:sz w:val="24"/>
          <w:szCs w:val="24"/>
          <w:lang w:val="en-US"/>
        </w:rPr>
        <w:t>.</w:t>
      </w:r>
      <w:r w:rsidR="00B8735C" w:rsidRPr="00C01D4F">
        <w:rPr>
          <w:rFonts w:ascii="Arial" w:hAnsi="Arial" w:cs="Arial"/>
          <w:sz w:val="24"/>
          <w:szCs w:val="24"/>
          <w:lang w:val="en-US"/>
        </w:rPr>
        <w:t xml:space="preserve"> It shows </w:t>
      </w:r>
      <w:r w:rsidR="000F381C">
        <w:rPr>
          <w:rFonts w:ascii="Arial" w:hAnsi="Arial" w:cs="Arial"/>
          <w:sz w:val="24"/>
          <w:szCs w:val="24"/>
          <w:lang w:val="en-US"/>
        </w:rPr>
        <w:t>a</w:t>
      </w:r>
      <w:r w:rsidR="00B8735C" w:rsidRPr="00C01D4F">
        <w:rPr>
          <w:rFonts w:ascii="Arial" w:hAnsi="Arial" w:cs="Arial"/>
          <w:sz w:val="24"/>
          <w:szCs w:val="24"/>
          <w:lang w:val="en-US"/>
        </w:rPr>
        <w:t xml:space="preserve"> cost of living increase above the minimum income guarantee</w:t>
      </w:r>
      <w:r w:rsidR="00A93C17">
        <w:rPr>
          <w:rFonts w:ascii="Arial" w:hAnsi="Arial" w:cs="Arial"/>
          <w:sz w:val="24"/>
          <w:szCs w:val="24"/>
          <w:lang w:val="en-US"/>
        </w:rPr>
        <w:t>.</w:t>
      </w:r>
    </w:p>
    <w:p w14:paraId="5CC2088B" w14:textId="39A95432" w:rsidR="00413EAE" w:rsidRDefault="00413EAE" w:rsidP="00E35C8A">
      <w:pPr>
        <w:spacing w:after="0"/>
        <w:ind w:left="-426" w:right="-330"/>
        <w:rPr>
          <w:rFonts w:ascii="Arial" w:hAnsi="Arial" w:cs="Arial"/>
          <w:sz w:val="24"/>
          <w:szCs w:val="24"/>
          <w:lang w:val="en-US"/>
        </w:rPr>
      </w:pPr>
    </w:p>
    <w:p w14:paraId="300FD9AE" w14:textId="479A77F3" w:rsidR="00413EAE" w:rsidRDefault="00413EAE" w:rsidP="00E35C8A">
      <w:pPr>
        <w:spacing w:after="0"/>
        <w:ind w:left="-426" w:right="-330"/>
        <w:rPr>
          <w:rFonts w:ascii="Arial" w:hAnsi="Arial" w:cs="Arial"/>
          <w:sz w:val="24"/>
          <w:szCs w:val="24"/>
          <w:lang w:val="en-US"/>
        </w:rPr>
      </w:pPr>
      <w:r>
        <w:rPr>
          <w:rFonts w:ascii="Arial" w:hAnsi="Arial" w:cs="Arial"/>
          <w:sz w:val="24"/>
          <w:szCs w:val="24"/>
          <w:lang w:val="en-US"/>
        </w:rPr>
        <w:t xml:space="preserve">The figures are </w:t>
      </w:r>
      <w:r w:rsidR="001B6278">
        <w:rPr>
          <w:rFonts w:ascii="Arial" w:hAnsi="Arial" w:cs="Arial"/>
          <w:sz w:val="24"/>
          <w:szCs w:val="24"/>
          <w:lang w:val="en-US"/>
        </w:rPr>
        <w:t xml:space="preserve">a guide </w:t>
      </w:r>
      <w:r>
        <w:rPr>
          <w:rFonts w:ascii="Arial" w:hAnsi="Arial" w:cs="Arial"/>
          <w:sz w:val="24"/>
          <w:szCs w:val="24"/>
          <w:lang w:val="en-US"/>
        </w:rPr>
        <w:t xml:space="preserve">only </w:t>
      </w:r>
      <w:r w:rsidR="001B6278">
        <w:rPr>
          <w:rFonts w:ascii="Arial" w:hAnsi="Arial" w:cs="Arial"/>
          <w:sz w:val="24"/>
          <w:szCs w:val="24"/>
          <w:lang w:val="en-US"/>
        </w:rPr>
        <w:t xml:space="preserve">and aim </w:t>
      </w:r>
      <w:r w:rsidR="007D2521">
        <w:rPr>
          <w:rFonts w:ascii="Arial" w:hAnsi="Arial" w:cs="Arial"/>
          <w:sz w:val="24"/>
          <w:szCs w:val="24"/>
          <w:lang w:val="en-US"/>
        </w:rPr>
        <w:t>t</w:t>
      </w:r>
      <w:r>
        <w:rPr>
          <w:rFonts w:ascii="Arial" w:hAnsi="Arial" w:cs="Arial"/>
          <w:sz w:val="24"/>
          <w:szCs w:val="24"/>
          <w:lang w:val="en-US"/>
        </w:rPr>
        <w:t xml:space="preserve">o </w:t>
      </w:r>
      <w:r w:rsidR="000F381C">
        <w:rPr>
          <w:rFonts w:ascii="Arial" w:hAnsi="Arial" w:cs="Arial"/>
          <w:sz w:val="24"/>
          <w:szCs w:val="24"/>
          <w:lang w:val="en-US"/>
        </w:rPr>
        <w:t>s</w:t>
      </w:r>
      <w:r w:rsidR="001B6278">
        <w:rPr>
          <w:rFonts w:ascii="Arial" w:hAnsi="Arial" w:cs="Arial"/>
          <w:sz w:val="24"/>
          <w:szCs w:val="24"/>
          <w:lang w:val="en-US"/>
        </w:rPr>
        <w:t>how</w:t>
      </w:r>
      <w:r>
        <w:rPr>
          <w:rFonts w:ascii="Arial" w:hAnsi="Arial" w:cs="Arial"/>
          <w:sz w:val="24"/>
          <w:szCs w:val="24"/>
          <w:lang w:val="en-US"/>
        </w:rPr>
        <w:t xml:space="preserve"> how this option</w:t>
      </w:r>
      <w:r w:rsidR="000F381C">
        <w:rPr>
          <w:rFonts w:ascii="Arial" w:hAnsi="Arial" w:cs="Arial"/>
          <w:sz w:val="24"/>
          <w:szCs w:val="24"/>
          <w:lang w:val="en-US"/>
        </w:rPr>
        <w:t xml:space="preserve"> might</w:t>
      </w:r>
      <w:r w:rsidR="001B6278">
        <w:rPr>
          <w:rFonts w:ascii="Arial" w:hAnsi="Arial" w:cs="Arial"/>
          <w:sz w:val="24"/>
          <w:szCs w:val="24"/>
          <w:lang w:val="en-US"/>
        </w:rPr>
        <w:t xml:space="preserve"> broadly </w:t>
      </w:r>
      <w:r>
        <w:rPr>
          <w:rFonts w:ascii="Arial" w:hAnsi="Arial" w:cs="Arial"/>
          <w:sz w:val="24"/>
          <w:szCs w:val="24"/>
          <w:lang w:val="en-US"/>
        </w:rPr>
        <w:t>compare t</w:t>
      </w:r>
      <w:r w:rsidR="007D2521">
        <w:rPr>
          <w:rFonts w:ascii="Arial" w:hAnsi="Arial" w:cs="Arial"/>
          <w:sz w:val="24"/>
          <w:szCs w:val="24"/>
          <w:lang w:val="en-US"/>
        </w:rPr>
        <w:t>o</w:t>
      </w:r>
      <w:r>
        <w:rPr>
          <w:rFonts w:ascii="Arial" w:hAnsi="Arial" w:cs="Arial"/>
          <w:sz w:val="24"/>
          <w:szCs w:val="24"/>
          <w:lang w:val="en-US"/>
        </w:rPr>
        <w:t xml:space="preserve"> </w:t>
      </w:r>
      <w:r w:rsidR="001B6278">
        <w:rPr>
          <w:rFonts w:ascii="Arial" w:hAnsi="Arial" w:cs="Arial"/>
          <w:sz w:val="24"/>
          <w:szCs w:val="24"/>
          <w:lang w:val="en-US"/>
        </w:rPr>
        <w:t xml:space="preserve">the </w:t>
      </w:r>
      <w:r>
        <w:rPr>
          <w:rFonts w:ascii="Arial" w:hAnsi="Arial" w:cs="Arial"/>
          <w:sz w:val="24"/>
          <w:szCs w:val="24"/>
          <w:lang w:val="en-US"/>
        </w:rPr>
        <w:t>others</w:t>
      </w:r>
      <w:bookmarkEnd w:id="9"/>
      <w:r>
        <w:rPr>
          <w:rFonts w:ascii="Arial" w:hAnsi="Arial" w:cs="Arial"/>
          <w:sz w:val="24"/>
          <w:szCs w:val="24"/>
          <w:lang w:val="en-US"/>
        </w:rPr>
        <w:t>.</w:t>
      </w:r>
    </w:p>
    <w:bookmarkEnd w:id="8"/>
    <w:bookmarkEnd w:id="10"/>
    <w:p w14:paraId="59530782" w14:textId="03F95064" w:rsidR="002A115F" w:rsidRDefault="002A115F" w:rsidP="00E35C8A">
      <w:pPr>
        <w:spacing w:after="0"/>
        <w:ind w:left="-426" w:right="-330"/>
        <w:jc w:val="right"/>
        <w:rPr>
          <w:rFonts w:ascii="Arial" w:hAnsi="Arial" w:cs="Arial"/>
          <w:sz w:val="24"/>
          <w:szCs w:val="24"/>
          <w:lang w:val="en-US"/>
        </w:rPr>
      </w:pPr>
    </w:p>
    <w:p w14:paraId="6DEDF351" w14:textId="77777777" w:rsidR="007D2521" w:rsidRDefault="007D2521" w:rsidP="004147C4">
      <w:pPr>
        <w:spacing w:after="0"/>
        <w:ind w:left="-426" w:right="-330"/>
        <w:rPr>
          <w:rFonts w:ascii="Arial" w:hAnsi="Arial" w:cs="Arial"/>
          <w:sz w:val="24"/>
          <w:szCs w:val="24"/>
          <w:lang w:val="en-US"/>
        </w:rPr>
      </w:pPr>
    </w:p>
    <w:p w14:paraId="5AE32FFD" w14:textId="02AACFAE" w:rsidR="00E35C8A" w:rsidRDefault="00BF0B60" w:rsidP="004147C4">
      <w:pPr>
        <w:spacing w:after="0"/>
        <w:ind w:left="-426" w:right="-330"/>
        <w:rPr>
          <w:rFonts w:ascii="Arial" w:hAnsi="Arial" w:cs="Arial"/>
          <w:sz w:val="24"/>
          <w:szCs w:val="24"/>
          <w:lang w:val="en-US"/>
        </w:rPr>
      </w:pPr>
      <w:r>
        <w:rPr>
          <w:rFonts w:ascii="Arial" w:hAnsi="Arial" w:cs="Arial"/>
          <w:sz w:val="24"/>
          <w:szCs w:val="24"/>
          <w:lang w:val="en-US"/>
        </w:rPr>
        <w:t xml:space="preserve">Our view is that </w:t>
      </w:r>
      <w:r w:rsidR="00F76758">
        <w:rPr>
          <w:rFonts w:ascii="Arial" w:hAnsi="Arial" w:cs="Arial"/>
          <w:sz w:val="24"/>
          <w:szCs w:val="24"/>
          <w:lang w:val="en-US"/>
        </w:rPr>
        <w:t xml:space="preserve">option </w:t>
      </w:r>
      <w:r w:rsidR="00835EB7">
        <w:rPr>
          <w:rFonts w:ascii="Arial" w:hAnsi="Arial" w:cs="Arial"/>
          <w:sz w:val="24"/>
          <w:szCs w:val="24"/>
          <w:lang w:val="en-US"/>
        </w:rPr>
        <w:t xml:space="preserve">1 </w:t>
      </w:r>
      <w:r w:rsidR="00F76758">
        <w:rPr>
          <w:rFonts w:ascii="Arial" w:hAnsi="Arial" w:cs="Arial"/>
          <w:sz w:val="24"/>
          <w:szCs w:val="24"/>
          <w:lang w:val="en-US"/>
        </w:rPr>
        <w:t xml:space="preserve">would </w:t>
      </w:r>
      <w:r w:rsidR="00A93C17">
        <w:rPr>
          <w:rFonts w:ascii="Arial" w:hAnsi="Arial" w:cs="Arial"/>
          <w:sz w:val="24"/>
          <w:szCs w:val="24"/>
          <w:lang w:val="en-US"/>
        </w:rPr>
        <w:t xml:space="preserve">provide most financial help to </w:t>
      </w:r>
      <w:r w:rsidR="00B8735C">
        <w:rPr>
          <w:rFonts w:ascii="Arial" w:hAnsi="Arial" w:cs="Arial"/>
          <w:sz w:val="24"/>
          <w:szCs w:val="24"/>
          <w:lang w:val="en-US"/>
        </w:rPr>
        <w:t xml:space="preserve">quite </w:t>
      </w:r>
      <w:r w:rsidR="00F76758">
        <w:rPr>
          <w:rFonts w:ascii="Arial" w:hAnsi="Arial" w:cs="Arial"/>
          <w:sz w:val="24"/>
          <w:szCs w:val="24"/>
          <w:lang w:val="en-US"/>
        </w:rPr>
        <w:t xml:space="preserve">a small </w:t>
      </w:r>
      <w:r w:rsidR="00B8735C">
        <w:rPr>
          <w:rFonts w:ascii="Arial" w:hAnsi="Arial" w:cs="Arial"/>
          <w:sz w:val="24"/>
          <w:szCs w:val="24"/>
          <w:lang w:val="en-US"/>
        </w:rPr>
        <w:t>amount</w:t>
      </w:r>
      <w:r w:rsidR="00F76758">
        <w:rPr>
          <w:rFonts w:ascii="Arial" w:hAnsi="Arial" w:cs="Arial"/>
          <w:sz w:val="24"/>
          <w:szCs w:val="24"/>
          <w:lang w:val="en-US"/>
        </w:rPr>
        <w:t xml:space="preserve"> </w:t>
      </w:r>
      <w:r w:rsidR="00AA29D1">
        <w:rPr>
          <w:rFonts w:ascii="Arial" w:hAnsi="Arial" w:cs="Arial"/>
          <w:sz w:val="24"/>
          <w:szCs w:val="24"/>
          <w:lang w:val="en-US"/>
        </w:rPr>
        <w:t xml:space="preserve">of </w:t>
      </w:r>
      <w:r w:rsidR="00F76758">
        <w:rPr>
          <w:rFonts w:ascii="Arial" w:hAnsi="Arial" w:cs="Arial"/>
          <w:sz w:val="24"/>
          <w:szCs w:val="24"/>
          <w:lang w:val="en-US"/>
        </w:rPr>
        <w:t xml:space="preserve">people </w:t>
      </w:r>
      <w:r>
        <w:rPr>
          <w:rFonts w:ascii="Arial" w:hAnsi="Arial" w:cs="Arial"/>
          <w:sz w:val="24"/>
          <w:szCs w:val="24"/>
          <w:lang w:val="en-US"/>
        </w:rPr>
        <w:t xml:space="preserve">overall and we would rather help more people. We therefore </w:t>
      </w:r>
      <w:r w:rsidR="00F76758">
        <w:rPr>
          <w:rFonts w:ascii="Arial" w:hAnsi="Arial" w:cs="Arial"/>
          <w:sz w:val="24"/>
          <w:szCs w:val="24"/>
          <w:lang w:val="en-US"/>
        </w:rPr>
        <w:t>do not prefer this option.</w:t>
      </w:r>
    </w:p>
    <w:p w14:paraId="1AD81727" w14:textId="6EFCF0C2" w:rsidR="004147C4" w:rsidRDefault="004147C4" w:rsidP="004147C4">
      <w:pPr>
        <w:spacing w:after="0"/>
        <w:ind w:left="-426" w:right="-330"/>
        <w:rPr>
          <w:rFonts w:ascii="Arial" w:hAnsi="Arial" w:cs="Arial"/>
          <w:sz w:val="24"/>
          <w:szCs w:val="24"/>
          <w:lang w:val="en-US"/>
        </w:rPr>
      </w:pPr>
    </w:p>
    <w:p w14:paraId="78AD2827" w14:textId="77777777" w:rsidR="004147C4" w:rsidRDefault="004147C4" w:rsidP="004147C4">
      <w:pPr>
        <w:spacing w:after="0"/>
        <w:ind w:left="-426" w:right="-330"/>
        <w:rPr>
          <w:rFonts w:ascii="Arial" w:hAnsi="Arial" w:cs="Arial"/>
          <w:sz w:val="24"/>
          <w:szCs w:val="24"/>
          <w:lang w:val="en-US"/>
        </w:rPr>
      </w:pPr>
    </w:p>
    <w:p w14:paraId="7C284364" w14:textId="4B8AD37C" w:rsidR="006C7702" w:rsidRDefault="000B06F3" w:rsidP="004147C4">
      <w:pPr>
        <w:spacing w:after="0"/>
        <w:ind w:left="-426" w:right="-330"/>
        <w:rPr>
          <w:rFonts w:ascii="Arial" w:hAnsi="Arial" w:cs="Arial"/>
          <w:b/>
          <w:bCs/>
          <w:sz w:val="24"/>
          <w:szCs w:val="24"/>
          <w:lang w:val="en"/>
        </w:rPr>
      </w:pPr>
      <w:r w:rsidRPr="000B06F3">
        <w:rPr>
          <w:rFonts w:ascii="Arial" w:hAnsi="Arial" w:cs="Arial"/>
          <w:b/>
          <w:bCs/>
          <w:sz w:val="24"/>
          <w:szCs w:val="24"/>
          <w:lang w:val="en-US"/>
        </w:rPr>
        <w:t>Option 2 - Increase the cost of living allowance based on increases to benefits</w:t>
      </w:r>
    </w:p>
    <w:p w14:paraId="5AF69429" w14:textId="77777777" w:rsidR="000B06F3" w:rsidRDefault="000B06F3" w:rsidP="006C7702">
      <w:pPr>
        <w:spacing w:after="0"/>
        <w:ind w:left="-426" w:right="-330"/>
        <w:rPr>
          <w:rFonts w:ascii="Arial" w:hAnsi="Arial" w:cs="Arial"/>
          <w:sz w:val="24"/>
          <w:szCs w:val="24"/>
          <w:lang w:val="en-US"/>
        </w:rPr>
      </w:pPr>
    </w:p>
    <w:p w14:paraId="469B2048" w14:textId="77777777" w:rsidR="006C7702" w:rsidRDefault="00055AD3" w:rsidP="006C7702">
      <w:pPr>
        <w:spacing w:after="0"/>
        <w:ind w:left="-426" w:right="-330"/>
        <w:rPr>
          <w:rFonts w:ascii="Arial" w:hAnsi="Arial" w:cs="Arial"/>
          <w:b/>
          <w:bCs/>
          <w:sz w:val="24"/>
          <w:szCs w:val="24"/>
          <w:lang w:val="en"/>
        </w:rPr>
      </w:pPr>
      <w:r w:rsidRPr="00C31691">
        <w:rPr>
          <w:rFonts w:ascii="Arial" w:hAnsi="Arial" w:cs="Arial"/>
          <w:sz w:val="24"/>
          <w:szCs w:val="24"/>
          <w:lang w:val="en-US"/>
        </w:rPr>
        <w:t xml:space="preserve">This option would </w:t>
      </w:r>
      <w:r w:rsidR="006C7702">
        <w:rPr>
          <w:rFonts w:ascii="Arial" w:hAnsi="Arial" w:cs="Arial"/>
          <w:sz w:val="24"/>
          <w:szCs w:val="24"/>
          <w:lang w:val="en-US"/>
        </w:rPr>
        <w:t>allow us to</w:t>
      </w:r>
      <w:r w:rsidRPr="00C31691">
        <w:rPr>
          <w:rFonts w:ascii="Arial" w:hAnsi="Arial" w:cs="Arial"/>
          <w:sz w:val="24"/>
          <w:szCs w:val="24"/>
          <w:lang w:val="en-US"/>
        </w:rPr>
        <w:t xml:space="preserve"> link</w:t>
      </w:r>
      <w:r w:rsidR="006C7702">
        <w:rPr>
          <w:rFonts w:ascii="Arial" w:hAnsi="Arial" w:cs="Arial"/>
          <w:sz w:val="24"/>
          <w:szCs w:val="24"/>
          <w:lang w:val="en-US"/>
        </w:rPr>
        <w:t xml:space="preserve"> increases in the</w:t>
      </w:r>
      <w:r w:rsidRPr="00C31691">
        <w:rPr>
          <w:rFonts w:ascii="Arial" w:hAnsi="Arial" w:cs="Arial"/>
          <w:sz w:val="24"/>
          <w:szCs w:val="24"/>
          <w:lang w:val="en-US"/>
        </w:rPr>
        <w:t xml:space="preserve"> cost of living allowance directly to increases in benefit rates: as benefit rates go up, so would the amount of </w:t>
      </w:r>
      <w:r w:rsidR="006C7702">
        <w:rPr>
          <w:rFonts w:ascii="Arial" w:hAnsi="Arial" w:cs="Arial"/>
          <w:sz w:val="24"/>
          <w:szCs w:val="24"/>
          <w:lang w:val="en-US"/>
        </w:rPr>
        <w:t xml:space="preserve">someone’s cost of living allowance. </w:t>
      </w:r>
      <w:r w:rsidRPr="00C31691">
        <w:rPr>
          <w:rFonts w:ascii="Arial" w:hAnsi="Arial" w:cs="Arial"/>
          <w:sz w:val="24"/>
          <w:szCs w:val="24"/>
          <w:lang w:val="en-US"/>
        </w:rPr>
        <w:t xml:space="preserve"> </w:t>
      </w:r>
    </w:p>
    <w:p w14:paraId="253B5A2E" w14:textId="77777777" w:rsidR="006C7702" w:rsidRDefault="006C7702" w:rsidP="006C7702">
      <w:pPr>
        <w:spacing w:after="0"/>
        <w:ind w:left="-426" w:right="-330"/>
        <w:rPr>
          <w:rFonts w:ascii="Arial" w:hAnsi="Arial" w:cs="Arial"/>
          <w:b/>
          <w:bCs/>
          <w:sz w:val="24"/>
          <w:szCs w:val="24"/>
          <w:lang w:val="en"/>
        </w:rPr>
      </w:pPr>
    </w:p>
    <w:p w14:paraId="7B7DDC07" w14:textId="6F2C5879" w:rsidR="00FC612F" w:rsidRDefault="00520958" w:rsidP="00FC612F">
      <w:pPr>
        <w:spacing w:after="0"/>
        <w:ind w:left="-426" w:right="-330"/>
        <w:rPr>
          <w:rFonts w:ascii="Arial" w:hAnsi="Arial" w:cs="Arial"/>
          <w:sz w:val="24"/>
          <w:szCs w:val="24"/>
          <w:lang w:val="en-US"/>
        </w:rPr>
      </w:pPr>
      <w:r>
        <w:rPr>
          <w:noProof/>
          <w:lang w:eastAsia="en-GB"/>
        </w:rPr>
        <w:drawing>
          <wp:anchor distT="0" distB="0" distL="114300" distR="114300" simplePos="0" relativeHeight="251662336" behindDoc="1" locked="0" layoutInCell="1" allowOverlap="1" wp14:anchorId="044C5504" wp14:editId="4084F857">
            <wp:simplePos x="0" y="0"/>
            <wp:positionH relativeFrom="column">
              <wp:posOffset>1371600</wp:posOffset>
            </wp:positionH>
            <wp:positionV relativeFrom="paragraph">
              <wp:posOffset>-2540</wp:posOffset>
            </wp:positionV>
            <wp:extent cx="4572000" cy="2743200"/>
            <wp:effectExtent l="0" t="0" r="0" b="0"/>
            <wp:wrapTight wrapText="bothSides">
              <wp:wrapPolygon edited="0">
                <wp:start x="0" y="0"/>
                <wp:lineTo x="0" y="21450"/>
                <wp:lineTo x="21510" y="21450"/>
                <wp:lineTo x="21510" y="0"/>
                <wp:lineTo x="0" y="0"/>
              </wp:wrapPolygon>
            </wp:wrapTight>
            <wp:docPr id="5" name="Chart 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DA6466-470E-43C9-A73F-0BB33F91B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11" w:name="_Hlk63341644"/>
      <w:r w:rsidR="000F381C">
        <w:rPr>
          <w:rFonts w:ascii="Arial" w:hAnsi="Arial" w:cs="Arial"/>
          <w:sz w:val="24"/>
          <w:szCs w:val="24"/>
          <w:lang w:val="en-US"/>
        </w:rPr>
        <w:t>T</w:t>
      </w:r>
      <w:r w:rsidR="000F381C" w:rsidRPr="00C01D4F">
        <w:rPr>
          <w:rFonts w:ascii="Arial" w:hAnsi="Arial" w:cs="Arial"/>
          <w:sz w:val="24"/>
          <w:szCs w:val="24"/>
          <w:lang w:val="en-US"/>
        </w:rPr>
        <w:t xml:space="preserve">his </w:t>
      </w:r>
      <w:bookmarkEnd w:id="11"/>
      <w:r w:rsidR="00FC612F" w:rsidRPr="00C01D4F">
        <w:rPr>
          <w:rFonts w:ascii="Arial" w:hAnsi="Arial" w:cs="Arial"/>
          <w:sz w:val="24"/>
          <w:szCs w:val="24"/>
          <w:lang w:val="en-US"/>
        </w:rPr>
        <w:t xml:space="preserve">graph </w:t>
      </w:r>
      <w:r w:rsidR="00FC612F">
        <w:rPr>
          <w:rFonts w:ascii="Arial" w:hAnsi="Arial" w:cs="Arial"/>
          <w:sz w:val="24"/>
          <w:szCs w:val="24"/>
          <w:lang w:val="en-US"/>
        </w:rPr>
        <w:t>illustrates what</w:t>
      </w:r>
      <w:r w:rsidR="00FC612F" w:rsidRPr="00C01D4F">
        <w:rPr>
          <w:rFonts w:ascii="Arial" w:hAnsi="Arial" w:cs="Arial"/>
          <w:sz w:val="24"/>
          <w:szCs w:val="24"/>
          <w:lang w:val="en-US"/>
        </w:rPr>
        <w:t xml:space="preserve"> option </w:t>
      </w:r>
      <w:r w:rsidR="00FC612F">
        <w:rPr>
          <w:rFonts w:ascii="Arial" w:hAnsi="Arial" w:cs="Arial"/>
          <w:sz w:val="24"/>
          <w:szCs w:val="24"/>
          <w:lang w:val="en-US"/>
        </w:rPr>
        <w:t>2</w:t>
      </w:r>
      <w:r w:rsidR="00FC612F" w:rsidRPr="00C01D4F">
        <w:rPr>
          <w:rFonts w:ascii="Arial" w:hAnsi="Arial" w:cs="Arial"/>
          <w:sz w:val="24"/>
          <w:szCs w:val="24"/>
          <w:lang w:val="en-US"/>
        </w:rPr>
        <w:t xml:space="preserve"> </w:t>
      </w:r>
      <w:r w:rsidR="00FC612F">
        <w:rPr>
          <w:rFonts w:ascii="Arial" w:hAnsi="Arial" w:cs="Arial"/>
          <w:sz w:val="24"/>
          <w:szCs w:val="24"/>
          <w:lang w:val="en-US"/>
        </w:rPr>
        <w:t>might mean for different groups of people.</w:t>
      </w:r>
      <w:r w:rsidR="00FC612F" w:rsidRPr="00C01D4F">
        <w:rPr>
          <w:rFonts w:ascii="Arial" w:hAnsi="Arial" w:cs="Arial"/>
          <w:sz w:val="24"/>
          <w:szCs w:val="24"/>
          <w:lang w:val="en-US"/>
        </w:rPr>
        <w:t xml:space="preserve"> It shows </w:t>
      </w:r>
      <w:r w:rsidR="00FC612F">
        <w:rPr>
          <w:rFonts w:ascii="Arial" w:hAnsi="Arial" w:cs="Arial"/>
          <w:sz w:val="24"/>
          <w:szCs w:val="24"/>
          <w:lang w:val="en-US"/>
        </w:rPr>
        <w:t>a</w:t>
      </w:r>
      <w:r w:rsidR="00FC612F" w:rsidRPr="00C01D4F">
        <w:rPr>
          <w:rFonts w:ascii="Arial" w:hAnsi="Arial" w:cs="Arial"/>
          <w:sz w:val="24"/>
          <w:szCs w:val="24"/>
          <w:lang w:val="en-US"/>
        </w:rPr>
        <w:t xml:space="preserve"> cost of living increase above the minimum income guarantee</w:t>
      </w:r>
      <w:r w:rsidR="00FC612F">
        <w:rPr>
          <w:rFonts w:ascii="Arial" w:hAnsi="Arial" w:cs="Arial"/>
          <w:sz w:val="24"/>
          <w:szCs w:val="24"/>
          <w:lang w:val="en-US"/>
        </w:rPr>
        <w:t>.</w:t>
      </w:r>
    </w:p>
    <w:p w14:paraId="266F020A" w14:textId="77777777" w:rsidR="00FC612F" w:rsidRDefault="00FC612F" w:rsidP="00FC612F">
      <w:pPr>
        <w:spacing w:after="0"/>
        <w:ind w:left="-426" w:right="-330"/>
        <w:rPr>
          <w:rFonts w:ascii="Arial" w:hAnsi="Arial" w:cs="Arial"/>
          <w:sz w:val="24"/>
          <w:szCs w:val="24"/>
          <w:lang w:val="en-US"/>
        </w:rPr>
      </w:pPr>
    </w:p>
    <w:p w14:paraId="0BADF91A" w14:textId="77777777" w:rsidR="00FC612F" w:rsidRDefault="00FC612F" w:rsidP="00FC612F">
      <w:pPr>
        <w:spacing w:after="0"/>
        <w:ind w:left="-426" w:right="-330"/>
        <w:rPr>
          <w:rFonts w:ascii="Arial" w:hAnsi="Arial" w:cs="Arial"/>
          <w:sz w:val="24"/>
          <w:szCs w:val="24"/>
          <w:lang w:val="en-US"/>
        </w:rPr>
      </w:pPr>
      <w:r>
        <w:rPr>
          <w:rFonts w:ascii="Arial" w:hAnsi="Arial" w:cs="Arial"/>
          <w:sz w:val="24"/>
          <w:szCs w:val="24"/>
          <w:lang w:val="en-US"/>
        </w:rPr>
        <w:t>The figures are a guide only and aim to show how this option might broadly compare to the others.</w:t>
      </w:r>
    </w:p>
    <w:p w14:paraId="1BAD6059" w14:textId="2C3A0827" w:rsidR="006C7702" w:rsidRDefault="006C7702" w:rsidP="00FC612F">
      <w:pPr>
        <w:spacing w:after="0"/>
        <w:ind w:left="-426" w:right="-330"/>
        <w:rPr>
          <w:rFonts w:ascii="Arial" w:hAnsi="Arial" w:cs="Arial"/>
          <w:b/>
          <w:bCs/>
          <w:sz w:val="24"/>
          <w:szCs w:val="24"/>
          <w:lang w:val="en"/>
        </w:rPr>
      </w:pPr>
    </w:p>
    <w:p w14:paraId="6D906AA5" w14:textId="78E997F7" w:rsidR="000B06F3" w:rsidRDefault="00BF0B60" w:rsidP="004147C4">
      <w:pPr>
        <w:spacing w:before="120" w:after="0"/>
        <w:ind w:left="-425" w:right="-329"/>
        <w:rPr>
          <w:rFonts w:ascii="Arial" w:hAnsi="Arial" w:cs="Arial"/>
          <w:b/>
          <w:bCs/>
          <w:sz w:val="24"/>
          <w:szCs w:val="24"/>
          <w:lang w:val="en"/>
        </w:rPr>
      </w:pPr>
      <w:r>
        <w:rPr>
          <w:rFonts w:ascii="Arial" w:hAnsi="Arial" w:cs="Arial"/>
          <w:sz w:val="24"/>
          <w:szCs w:val="24"/>
          <w:lang w:val="en-US"/>
        </w:rPr>
        <w:t xml:space="preserve">Our view is that </w:t>
      </w:r>
      <w:r w:rsidR="00055AD3" w:rsidRPr="00C31691">
        <w:rPr>
          <w:rFonts w:ascii="Arial" w:hAnsi="Arial" w:cs="Arial"/>
          <w:sz w:val="24"/>
          <w:szCs w:val="24"/>
          <w:lang w:val="en-US"/>
        </w:rPr>
        <w:t xml:space="preserve">the most positive </w:t>
      </w:r>
      <w:r w:rsidR="0060593F">
        <w:rPr>
          <w:rFonts w:ascii="Arial" w:hAnsi="Arial" w:cs="Arial"/>
          <w:sz w:val="24"/>
          <w:szCs w:val="24"/>
          <w:lang w:val="en-US"/>
        </w:rPr>
        <w:t xml:space="preserve">financial </w:t>
      </w:r>
      <w:r w:rsidR="00055AD3" w:rsidRPr="00C31691">
        <w:rPr>
          <w:rFonts w:ascii="Arial" w:hAnsi="Arial" w:cs="Arial"/>
          <w:sz w:val="24"/>
          <w:szCs w:val="24"/>
          <w:lang w:val="en-US"/>
        </w:rPr>
        <w:t xml:space="preserve">impact </w:t>
      </w:r>
      <w:r w:rsidR="0060593F">
        <w:rPr>
          <w:rFonts w:ascii="Arial" w:hAnsi="Arial" w:cs="Arial"/>
          <w:sz w:val="24"/>
          <w:szCs w:val="24"/>
          <w:lang w:val="en-US"/>
        </w:rPr>
        <w:t xml:space="preserve">for option 2 </w:t>
      </w:r>
      <w:r w:rsidR="00055AD3" w:rsidRPr="00C31691">
        <w:rPr>
          <w:rFonts w:ascii="Arial" w:hAnsi="Arial" w:cs="Arial"/>
          <w:sz w:val="24"/>
          <w:szCs w:val="24"/>
          <w:lang w:val="en-US"/>
        </w:rPr>
        <w:t>would be seen by people who</w:t>
      </w:r>
      <w:r w:rsidR="00174365">
        <w:rPr>
          <w:rFonts w:ascii="Arial" w:hAnsi="Arial" w:cs="Arial"/>
          <w:sz w:val="24"/>
          <w:szCs w:val="24"/>
          <w:lang w:val="en-US"/>
        </w:rPr>
        <w:t xml:space="preserve"> already have a higher minimum income guarantee</w:t>
      </w:r>
      <w:r w:rsidR="00055AD3" w:rsidRPr="00C31691">
        <w:rPr>
          <w:rFonts w:ascii="Arial" w:hAnsi="Arial" w:cs="Arial"/>
          <w:sz w:val="24"/>
          <w:szCs w:val="24"/>
          <w:lang w:val="en-US"/>
        </w:rPr>
        <w:t>. People with less income and whose benefits do not increase as much would see least positive change. </w:t>
      </w:r>
      <w:r w:rsidR="006948DF">
        <w:rPr>
          <w:rFonts w:ascii="Arial" w:hAnsi="Arial" w:cs="Arial"/>
          <w:sz w:val="24"/>
          <w:szCs w:val="24"/>
          <w:lang w:val="en-US"/>
        </w:rPr>
        <w:t>We therefore do not prefer this option.</w:t>
      </w:r>
      <w:r w:rsidR="00055AD3" w:rsidRPr="00C31691">
        <w:rPr>
          <w:rFonts w:ascii="Arial" w:hAnsi="Arial" w:cs="Arial"/>
          <w:sz w:val="24"/>
          <w:szCs w:val="24"/>
          <w:lang w:val="en-US"/>
        </w:rPr>
        <w:t xml:space="preserve"> </w:t>
      </w:r>
    </w:p>
    <w:p w14:paraId="7DF9DA50" w14:textId="6631D6C8" w:rsidR="000B06F3" w:rsidRDefault="000B06F3" w:rsidP="000B06F3">
      <w:pPr>
        <w:spacing w:after="0"/>
        <w:ind w:left="-426" w:right="-330"/>
        <w:rPr>
          <w:rFonts w:ascii="Arial" w:hAnsi="Arial" w:cs="Arial"/>
          <w:b/>
          <w:bCs/>
          <w:sz w:val="24"/>
          <w:szCs w:val="24"/>
          <w:lang w:val="en-US"/>
        </w:rPr>
      </w:pPr>
      <w:r w:rsidRPr="000B06F3">
        <w:rPr>
          <w:rFonts w:ascii="Arial" w:hAnsi="Arial" w:cs="Arial"/>
          <w:b/>
          <w:bCs/>
          <w:sz w:val="24"/>
          <w:szCs w:val="24"/>
          <w:lang w:val="en-US"/>
        </w:rPr>
        <w:t xml:space="preserve">Option 3 - </w:t>
      </w:r>
      <w:r w:rsidR="00B2012E" w:rsidRPr="00B2012E">
        <w:rPr>
          <w:rFonts w:ascii="Arial" w:hAnsi="Arial" w:cs="Arial"/>
          <w:b/>
          <w:bCs/>
          <w:sz w:val="24"/>
          <w:szCs w:val="24"/>
          <w:lang w:val="en-US"/>
        </w:rPr>
        <w:t>Make discretionary payments instead of increasing the cost of living allowance</w:t>
      </w:r>
    </w:p>
    <w:p w14:paraId="2CC601AA" w14:textId="77777777" w:rsidR="000B06F3" w:rsidRDefault="000B06F3" w:rsidP="000B06F3">
      <w:pPr>
        <w:spacing w:after="0"/>
        <w:ind w:left="-426" w:right="-330"/>
        <w:rPr>
          <w:rFonts w:ascii="Arial" w:hAnsi="Arial" w:cs="Arial"/>
          <w:b/>
          <w:bCs/>
          <w:sz w:val="24"/>
          <w:szCs w:val="24"/>
          <w:lang w:val="en-US"/>
        </w:rPr>
      </w:pPr>
    </w:p>
    <w:p w14:paraId="09095E18" w14:textId="3243DFAA" w:rsidR="000871C7" w:rsidRDefault="00055AD3" w:rsidP="000871C7">
      <w:pPr>
        <w:spacing w:after="0"/>
        <w:ind w:left="-426" w:right="-330"/>
        <w:rPr>
          <w:rFonts w:ascii="Arial" w:hAnsi="Arial" w:cs="Arial"/>
          <w:b/>
          <w:bCs/>
          <w:sz w:val="24"/>
          <w:szCs w:val="24"/>
          <w:lang w:val="en"/>
        </w:rPr>
      </w:pPr>
      <w:bookmarkStart w:id="12" w:name="_Hlk63340547"/>
      <w:r w:rsidRPr="00C31691">
        <w:rPr>
          <w:rFonts w:ascii="Arial" w:hAnsi="Arial" w:cs="Arial"/>
          <w:sz w:val="24"/>
          <w:szCs w:val="24"/>
          <w:lang w:val="en-US"/>
        </w:rPr>
        <w:t>Under this option, we</w:t>
      </w:r>
      <w:r w:rsidR="00D95B70">
        <w:rPr>
          <w:rFonts w:ascii="Arial" w:hAnsi="Arial" w:cs="Arial"/>
          <w:sz w:val="24"/>
          <w:szCs w:val="24"/>
          <w:lang w:val="en-US"/>
        </w:rPr>
        <w:t xml:space="preserve"> would</w:t>
      </w:r>
      <w:r w:rsidRPr="00C31691">
        <w:rPr>
          <w:rFonts w:ascii="Arial" w:hAnsi="Arial" w:cs="Arial"/>
          <w:sz w:val="24"/>
          <w:szCs w:val="24"/>
          <w:lang w:val="en-US"/>
        </w:rPr>
        <w:t xml:space="preserve"> </w:t>
      </w:r>
      <w:r w:rsidR="00B055A6">
        <w:rPr>
          <w:rFonts w:ascii="Arial" w:hAnsi="Arial" w:cs="Arial"/>
          <w:sz w:val="24"/>
          <w:szCs w:val="24"/>
          <w:lang w:val="en-US"/>
        </w:rPr>
        <w:t xml:space="preserve">not increase the cost of living allowance above </w:t>
      </w:r>
      <w:r w:rsidR="00B2012E">
        <w:rPr>
          <w:rFonts w:ascii="Arial" w:hAnsi="Arial" w:cs="Arial"/>
          <w:sz w:val="24"/>
          <w:szCs w:val="24"/>
          <w:lang w:val="en-US"/>
        </w:rPr>
        <w:t>the minimum income guarantee</w:t>
      </w:r>
      <w:r w:rsidR="00B055A6">
        <w:rPr>
          <w:rFonts w:ascii="Arial" w:hAnsi="Arial" w:cs="Arial"/>
          <w:sz w:val="24"/>
          <w:szCs w:val="24"/>
          <w:lang w:val="en-US"/>
        </w:rPr>
        <w:t xml:space="preserve">. </w:t>
      </w:r>
      <w:bookmarkEnd w:id="12"/>
      <w:r w:rsidR="00B055A6">
        <w:rPr>
          <w:rFonts w:ascii="Arial" w:hAnsi="Arial" w:cs="Arial"/>
          <w:sz w:val="24"/>
          <w:szCs w:val="24"/>
          <w:lang w:val="en-US"/>
        </w:rPr>
        <w:t>Instead, w</w:t>
      </w:r>
      <w:r w:rsidR="00B2012E">
        <w:rPr>
          <w:rFonts w:ascii="Arial" w:hAnsi="Arial" w:cs="Arial"/>
          <w:sz w:val="24"/>
          <w:szCs w:val="24"/>
          <w:lang w:val="en-US"/>
        </w:rPr>
        <w:t xml:space="preserve">e </w:t>
      </w:r>
      <w:r w:rsidRPr="00C31691">
        <w:rPr>
          <w:rFonts w:ascii="Arial" w:hAnsi="Arial" w:cs="Arial"/>
          <w:sz w:val="24"/>
          <w:szCs w:val="24"/>
          <w:lang w:val="en-US"/>
        </w:rPr>
        <w:t xml:space="preserve">would </w:t>
      </w:r>
      <w:r w:rsidR="000B06F3">
        <w:rPr>
          <w:rFonts w:ascii="Arial" w:hAnsi="Arial" w:cs="Arial"/>
          <w:sz w:val="24"/>
          <w:szCs w:val="24"/>
          <w:lang w:val="en-US"/>
        </w:rPr>
        <w:t xml:space="preserve">use </w:t>
      </w:r>
      <w:r w:rsidR="00B055A6">
        <w:rPr>
          <w:rFonts w:ascii="Arial" w:hAnsi="Arial" w:cs="Arial"/>
          <w:sz w:val="24"/>
          <w:szCs w:val="24"/>
          <w:lang w:val="en-US"/>
        </w:rPr>
        <w:t>money</w:t>
      </w:r>
      <w:r w:rsidR="00F17801">
        <w:rPr>
          <w:rFonts w:ascii="Arial" w:hAnsi="Arial" w:cs="Arial"/>
          <w:sz w:val="24"/>
          <w:szCs w:val="24"/>
          <w:lang w:val="en-US"/>
        </w:rPr>
        <w:t xml:space="preserve"> we receive from people’s </w:t>
      </w:r>
      <w:r w:rsidR="000B06F3">
        <w:rPr>
          <w:rFonts w:ascii="Arial" w:hAnsi="Arial" w:cs="Arial"/>
          <w:sz w:val="24"/>
          <w:szCs w:val="24"/>
          <w:lang w:val="en-US"/>
        </w:rPr>
        <w:t xml:space="preserve">contributions to </w:t>
      </w:r>
      <w:r w:rsidR="00CC24A2">
        <w:rPr>
          <w:rFonts w:ascii="Arial" w:hAnsi="Arial" w:cs="Arial"/>
          <w:sz w:val="24"/>
          <w:szCs w:val="24"/>
          <w:lang w:val="en-US"/>
        </w:rPr>
        <w:t>make</w:t>
      </w:r>
      <w:r w:rsidR="00B2012E">
        <w:rPr>
          <w:rFonts w:ascii="Arial" w:hAnsi="Arial" w:cs="Arial"/>
          <w:sz w:val="24"/>
          <w:szCs w:val="24"/>
          <w:lang w:val="en-US"/>
        </w:rPr>
        <w:t xml:space="preserve"> discretionary payments. We would create a fund that would be used to redistribute money to those who need it most. The</w:t>
      </w:r>
      <w:r w:rsidR="00CC24A2">
        <w:rPr>
          <w:rFonts w:ascii="Arial" w:hAnsi="Arial" w:cs="Arial"/>
          <w:sz w:val="24"/>
          <w:szCs w:val="24"/>
          <w:lang w:val="en-US"/>
        </w:rPr>
        <w:t xml:space="preserve"> discretionary payments </w:t>
      </w:r>
      <w:r w:rsidR="00B2012E">
        <w:rPr>
          <w:rFonts w:ascii="Arial" w:hAnsi="Arial" w:cs="Arial"/>
          <w:sz w:val="24"/>
          <w:szCs w:val="24"/>
          <w:lang w:val="en-US"/>
        </w:rPr>
        <w:t xml:space="preserve">could be paid to </w:t>
      </w:r>
      <w:r w:rsidR="00CC24A2">
        <w:rPr>
          <w:rFonts w:ascii="Arial" w:hAnsi="Arial" w:cs="Arial"/>
          <w:sz w:val="24"/>
          <w:szCs w:val="24"/>
          <w:lang w:val="en-US"/>
        </w:rPr>
        <w:t>people</w:t>
      </w:r>
      <w:r w:rsidR="00B2012E">
        <w:rPr>
          <w:rFonts w:ascii="Arial" w:hAnsi="Arial" w:cs="Arial"/>
          <w:sz w:val="24"/>
          <w:szCs w:val="24"/>
          <w:lang w:val="en-US"/>
        </w:rPr>
        <w:t xml:space="preserve"> </w:t>
      </w:r>
      <w:r w:rsidRPr="00C31691">
        <w:rPr>
          <w:rFonts w:ascii="Arial" w:hAnsi="Arial" w:cs="Arial"/>
          <w:sz w:val="24"/>
          <w:szCs w:val="24"/>
          <w:lang w:val="en-US"/>
        </w:rPr>
        <w:t>who</w:t>
      </w:r>
      <w:r w:rsidR="000B06F3">
        <w:rPr>
          <w:rFonts w:ascii="Arial" w:hAnsi="Arial" w:cs="Arial"/>
          <w:sz w:val="24"/>
          <w:szCs w:val="24"/>
          <w:lang w:val="en-US"/>
        </w:rPr>
        <w:t xml:space="preserve"> have the lowest minimum income guarantee </w:t>
      </w:r>
      <w:r w:rsidR="00CC24A2">
        <w:rPr>
          <w:rFonts w:ascii="Arial" w:hAnsi="Arial" w:cs="Arial"/>
          <w:sz w:val="24"/>
          <w:szCs w:val="24"/>
          <w:lang w:val="en-US"/>
        </w:rPr>
        <w:t xml:space="preserve">or </w:t>
      </w:r>
      <w:r w:rsidR="00FD6BE6">
        <w:rPr>
          <w:rFonts w:ascii="Arial" w:hAnsi="Arial" w:cs="Arial"/>
          <w:sz w:val="24"/>
          <w:szCs w:val="24"/>
          <w:lang w:val="en-US"/>
        </w:rPr>
        <w:t>others</w:t>
      </w:r>
      <w:r w:rsidR="00CC24A2">
        <w:rPr>
          <w:rFonts w:ascii="Arial" w:hAnsi="Arial" w:cs="Arial"/>
          <w:sz w:val="24"/>
          <w:szCs w:val="24"/>
          <w:lang w:val="en-US"/>
        </w:rPr>
        <w:t xml:space="preserve"> </w:t>
      </w:r>
      <w:r w:rsidR="000871C7">
        <w:rPr>
          <w:rFonts w:ascii="Arial" w:hAnsi="Arial" w:cs="Arial"/>
          <w:sz w:val="24"/>
          <w:szCs w:val="24"/>
          <w:lang w:val="en-US"/>
        </w:rPr>
        <w:t xml:space="preserve">depending on their situation. </w:t>
      </w:r>
      <w:r w:rsidR="00B2012E">
        <w:rPr>
          <w:rFonts w:ascii="Arial" w:hAnsi="Arial" w:cs="Arial"/>
          <w:sz w:val="24"/>
          <w:szCs w:val="24"/>
          <w:lang w:val="en-US"/>
        </w:rPr>
        <w:t xml:space="preserve"> </w:t>
      </w:r>
    </w:p>
    <w:p w14:paraId="7E7EEB8D" w14:textId="77777777" w:rsidR="000871C7" w:rsidRPr="000871C7" w:rsidRDefault="000871C7" w:rsidP="000871C7">
      <w:pPr>
        <w:spacing w:after="0"/>
        <w:ind w:left="-426" w:right="-330"/>
        <w:rPr>
          <w:rFonts w:ascii="Arial" w:hAnsi="Arial" w:cs="Arial"/>
          <w:sz w:val="24"/>
          <w:szCs w:val="24"/>
          <w:lang w:val="en"/>
        </w:rPr>
      </w:pPr>
    </w:p>
    <w:p w14:paraId="5FDC9ACC" w14:textId="521062ED" w:rsidR="000871C7" w:rsidRPr="000871C7" w:rsidRDefault="00B055A6" w:rsidP="000871C7">
      <w:pPr>
        <w:spacing w:after="0"/>
        <w:ind w:left="-426" w:right="-330"/>
        <w:rPr>
          <w:rFonts w:ascii="Arial" w:hAnsi="Arial" w:cs="Arial"/>
          <w:sz w:val="24"/>
          <w:szCs w:val="24"/>
          <w:lang w:val="en"/>
        </w:rPr>
      </w:pPr>
      <w:r>
        <w:rPr>
          <w:rFonts w:ascii="Arial" w:hAnsi="Arial" w:cs="Arial"/>
          <w:sz w:val="24"/>
          <w:szCs w:val="24"/>
          <w:lang w:val="en"/>
        </w:rPr>
        <w:t xml:space="preserve">It is not possible to show the financial difference option 3 would make for </w:t>
      </w:r>
      <w:r w:rsidR="00CC24A2">
        <w:rPr>
          <w:rFonts w:ascii="Arial" w:hAnsi="Arial" w:cs="Arial"/>
          <w:sz w:val="24"/>
          <w:szCs w:val="24"/>
          <w:lang w:val="en"/>
        </w:rPr>
        <w:t>people</w:t>
      </w:r>
      <w:r>
        <w:rPr>
          <w:rFonts w:ascii="Arial" w:hAnsi="Arial" w:cs="Arial"/>
          <w:sz w:val="24"/>
          <w:szCs w:val="24"/>
          <w:lang w:val="en"/>
        </w:rPr>
        <w:t xml:space="preserve"> because it</w:t>
      </w:r>
      <w:r w:rsidR="00CC24A2">
        <w:rPr>
          <w:rFonts w:ascii="Arial" w:hAnsi="Arial" w:cs="Arial"/>
          <w:sz w:val="24"/>
          <w:szCs w:val="24"/>
          <w:lang w:val="en"/>
        </w:rPr>
        <w:t xml:space="preserve"> would depend upon people applying for and receiving discretionary payments.</w:t>
      </w:r>
    </w:p>
    <w:p w14:paraId="74F3971C" w14:textId="45FEED70" w:rsidR="000871C7" w:rsidRDefault="000871C7" w:rsidP="000871C7">
      <w:pPr>
        <w:spacing w:after="0"/>
        <w:ind w:left="-426" w:right="-330"/>
        <w:rPr>
          <w:rFonts w:ascii="Arial" w:hAnsi="Arial" w:cs="Arial"/>
          <w:sz w:val="24"/>
          <w:szCs w:val="24"/>
          <w:lang w:val="en"/>
        </w:rPr>
      </w:pPr>
    </w:p>
    <w:p w14:paraId="65EDCA4B" w14:textId="77777777" w:rsidR="00FA71BE" w:rsidRDefault="00CC24A2" w:rsidP="00FA71BE">
      <w:pPr>
        <w:spacing w:after="0"/>
        <w:ind w:left="-426" w:right="-330"/>
        <w:rPr>
          <w:rFonts w:ascii="Arial" w:hAnsi="Arial" w:cs="Arial"/>
          <w:b/>
          <w:bCs/>
          <w:sz w:val="24"/>
          <w:szCs w:val="24"/>
          <w:lang w:val="en"/>
        </w:rPr>
      </w:pPr>
      <w:r>
        <w:rPr>
          <w:rFonts w:ascii="Arial" w:hAnsi="Arial" w:cs="Arial"/>
          <w:sz w:val="24"/>
          <w:szCs w:val="24"/>
          <w:lang w:val="en"/>
        </w:rPr>
        <w:t xml:space="preserve">This option could help people most in financial need. </w:t>
      </w:r>
      <w:r w:rsidR="00055AD3" w:rsidRPr="00C31691">
        <w:rPr>
          <w:rFonts w:ascii="Arial" w:hAnsi="Arial" w:cs="Arial"/>
          <w:sz w:val="24"/>
          <w:szCs w:val="24"/>
          <w:lang w:val="en-US"/>
        </w:rPr>
        <w:t>However, w</w:t>
      </w:r>
      <w:r w:rsidR="00287691">
        <w:rPr>
          <w:rFonts w:ascii="Arial" w:hAnsi="Arial" w:cs="Arial"/>
          <w:sz w:val="24"/>
          <w:szCs w:val="24"/>
          <w:lang w:val="en-US"/>
        </w:rPr>
        <w:t xml:space="preserve">e </w:t>
      </w:r>
      <w:r w:rsidR="00B055A6">
        <w:rPr>
          <w:rFonts w:ascii="Arial" w:hAnsi="Arial" w:cs="Arial"/>
          <w:sz w:val="24"/>
          <w:szCs w:val="24"/>
          <w:lang w:val="en-US"/>
        </w:rPr>
        <w:t xml:space="preserve">are </w:t>
      </w:r>
      <w:r w:rsidR="00055AD3" w:rsidRPr="00C31691">
        <w:rPr>
          <w:rFonts w:ascii="Arial" w:hAnsi="Arial" w:cs="Arial"/>
          <w:sz w:val="24"/>
          <w:szCs w:val="24"/>
          <w:lang w:val="en-US"/>
        </w:rPr>
        <w:t xml:space="preserve">concerned </w:t>
      </w:r>
      <w:r>
        <w:rPr>
          <w:rFonts w:ascii="Arial" w:hAnsi="Arial" w:cs="Arial"/>
          <w:sz w:val="24"/>
          <w:szCs w:val="24"/>
          <w:lang w:val="en-US"/>
        </w:rPr>
        <w:t xml:space="preserve">that </w:t>
      </w:r>
      <w:r w:rsidR="00287691">
        <w:rPr>
          <w:rFonts w:ascii="Arial" w:hAnsi="Arial" w:cs="Arial"/>
          <w:sz w:val="24"/>
          <w:szCs w:val="24"/>
          <w:lang w:val="en-US"/>
        </w:rPr>
        <w:t xml:space="preserve">not everyone </w:t>
      </w:r>
      <w:r w:rsidR="00FD6BE6">
        <w:rPr>
          <w:rFonts w:ascii="Arial" w:hAnsi="Arial" w:cs="Arial"/>
          <w:sz w:val="24"/>
          <w:szCs w:val="24"/>
          <w:lang w:val="en-US"/>
        </w:rPr>
        <w:t xml:space="preserve">who might need it would </w:t>
      </w:r>
      <w:r w:rsidR="00287691">
        <w:rPr>
          <w:rFonts w:ascii="Arial" w:hAnsi="Arial" w:cs="Arial"/>
          <w:sz w:val="24"/>
          <w:szCs w:val="24"/>
          <w:lang w:val="en-US"/>
        </w:rPr>
        <w:t xml:space="preserve">apply, and there would be a risk </w:t>
      </w:r>
      <w:r w:rsidR="00287691" w:rsidRPr="00C31691">
        <w:rPr>
          <w:rFonts w:ascii="Arial" w:hAnsi="Arial" w:cs="Arial"/>
          <w:sz w:val="24"/>
          <w:szCs w:val="24"/>
          <w:lang w:val="en-US"/>
        </w:rPr>
        <w:t xml:space="preserve">of low take-up of the </w:t>
      </w:r>
      <w:r w:rsidR="00287691">
        <w:rPr>
          <w:rFonts w:ascii="Arial" w:hAnsi="Arial" w:cs="Arial"/>
          <w:sz w:val="24"/>
          <w:szCs w:val="24"/>
          <w:lang w:val="en-US"/>
        </w:rPr>
        <w:t xml:space="preserve">discretionary </w:t>
      </w:r>
      <w:r w:rsidR="00287691" w:rsidRPr="00C31691">
        <w:rPr>
          <w:rFonts w:ascii="Arial" w:hAnsi="Arial" w:cs="Arial"/>
          <w:sz w:val="24"/>
          <w:szCs w:val="24"/>
          <w:lang w:val="en-US"/>
        </w:rPr>
        <w:t>payments.</w:t>
      </w:r>
      <w:r w:rsidR="00287691">
        <w:rPr>
          <w:rFonts w:ascii="Arial" w:hAnsi="Arial" w:cs="Arial"/>
          <w:sz w:val="24"/>
          <w:szCs w:val="24"/>
          <w:lang w:val="en-US"/>
        </w:rPr>
        <w:t xml:space="preserve"> We therefore do not prefer this option.</w:t>
      </w:r>
    </w:p>
    <w:p w14:paraId="52CDCA21" w14:textId="77777777" w:rsidR="00FA71BE" w:rsidRPr="00D13DB5" w:rsidRDefault="00FA71BE" w:rsidP="00FA71BE">
      <w:pPr>
        <w:spacing w:after="0"/>
        <w:ind w:left="-426" w:right="-330"/>
        <w:rPr>
          <w:rFonts w:ascii="Arial" w:hAnsi="Arial" w:cs="Arial"/>
          <w:b/>
          <w:bCs/>
          <w:sz w:val="24"/>
          <w:szCs w:val="24"/>
          <w:lang w:val="en"/>
        </w:rPr>
      </w:pPr>
    </w:p>
    <w:p w14:paraId="3BE5766A" w14:textId="262B5FCC" w:rsidR="00FA71BE" w:rsidRPr="00D13DB5" w:rsidRDefault="00FA71BE" w:rsidP="00FA71BE">
      <w:pPr>
        <w:spacing w:after="0"/>
        <w:ind w:left="-426" w:right="-330"/>
        <w:rPr>
          <w:rFonts w:ascii="Arial" w:hAnsi="Arial" w:cs="Arial"/>
          <w:b/>
          <w:bCs/>
          <w:sz w:val="24"/>
          <w:szCs w:val="24"/>
          <w:lang w:val="en"/>
        </w:rPr>
      </w:pPr>
    </w:p>
    <w:p w14:paraId="1C962AC8" w14:textId="3BD029EE" w:rsidR="00B055A6" w:rsidRPr="00D13DB5" w:rsidRDefault="000B06F3" w:rsidP="00FA71BE">
      <w:pPr>
        <w:spacing w:after="0"/>
        <w:ind w:left="-426" w:right="-330"/>
        <w:rPr>
          <w:rFonts w:ascii="Arial" w:hAnsi="Arial" w:cs="Arial"/>
          <w:b/>
          <w:bCs/>
          <w:sz w:val="24"/>
          <w:szCs w:val="24"/>
          <w:lang w:val="en"/>
        </w:rPr>
      </w:pPr>
      <w:r w:rsidRPr="00D13DB5">
        <w:rPr>
          <w:rFonts w:ascii="Arial" w:hAnsi="Arial" w:cs="Arial"/>
          <w:b/>
          <w:bCs/>
          <w:sz w:val="24"/>
          <w:szCs w:val="24"/>
          <w:lang w:val="en-US"/>
        </w:rPr>
        <w:t>Option 4 - Set a maximum income level instead of increasing the cost of living allowance</w:t>
      </w:r>
    </w:p>
    <w:p w14:paraId="74AFD843" w14:textId="77777777" w:rsidR="00B055A6" w:rsidRPr="00D13DB5" w:rsidRDefault="00B055A6" w:rsidP="00B055A6">
      <w:pPr>
        <w:spacing w:after="0"/>
        <w:ind w:left="-426" w:right="-330"/>
        <w:rPr>
          <w:rFonts w:ascii="Arial" w:hAnsi="Arial" w:cs="Arial"/>
          <w:b/>
          <w:bCs/>
          <w:sz w:val="24"/>
          <w:szCs w:val="24"/>
          <w:lang w:val="en"/>
        </w:rPr>
      </w:pPr>
    </w:p>
    <w:p w14:paraId="63ADF86B" w14:textId="27A80DE2" w:rsidR="00B055A6" w:rsidRPr="00D13DB5" w:rsidRDefault="00B055A6" w:rsidP="00B055A6">
      <w:pPr>
        <w:spacing w:after="0"/>
        <w:ind w:left="-426" w:right="-330"/>
        <w:rPr>
          <w:rFonts w:ascii="Arial" w:hAnsi="Arial" w:cs="Arial"/>
          <w:sz w:val="24"/>
          <w:szCs w:val="24"/>
          <w:lang w:val="en-US"/>
        </w:rPr>
      </w:pPr>
      <w:r w:rsidRPr="00D13DB5">
        <w:rPr>
          <w:rFonts w:ascii="Arial" w:hAnsi="Arial" w:cs="Arial"/>
          <w:sz w:val="24"/>
          <w:szCs w:val="24"/>
          <w:lang w:val="en-US"/>
        </w:rPr>
        <w:t xml:space="preserve">Like the previous option, </w:t>
      </w:r>
      <w:r w:rsidR="00382F14" w:rsidRPr="00D13DB5">
        <w:rPr>
          <w:rFonts w:ascii="Arial" w:hAnsi="Arial" w:cs="Arial"/>
          <w:sz w:val="24"/>
          <w:szCs w:val="24"/>
          <w:lang w:val="en-US"/>
        </w:rPr>
        <w:t>un</w:t>
      </w:r>
      <w:r w:rsidRPr="00D13DB5">
        <w:rPr>
          <w:rFonts w:ascii="Arial" w:hAnsi="Arial" w:cs="Arial"/>
          <w:sz w:val="24"/>
          <w:szCs w:val="24"/>
          <w:lang w:val="en-US"/>
        </w:rPr>
        <w:t>der option</w:t>
      </w:r>
      <w:r w:rsidR="00382F14" w:rsidRPr="00D13DB5">
        <w:rPr>
          <w:rFonts w:ascii="Arial" w:hAnsi="Arial" w:cs="Arial"/>
          <w:sz w:val="24"/>
          <w:szCs w:val="24"/>
          <w:lang w:val="en-US"/>
        </w:rPr>
        <w:t xml:space="preserve"> 4 </w:t>
      </w:r>
      <w:r w:rsidRPr="00D13DB5">
        <w:rPr>
          <w:rFonts w:ascii="Arial" w:hAnsi="Arial" w:cs="Arial"/>
          <w:sz w:val="24"/>
          <w:szCs w:val="24"/>
          <w:lang w:val="en-US"/>
        </w:rPr>
        <w:t xml:space="preserve">we would not increase the cost of living allowance above the minimum income guarantee. </w:t>
      </w:r>
      <w:r w:rsidR="00382F14" w:rsidRPr="00D13DB5">
        <w:rPr>
          <w:rFonts w:ascii="Arial" w:hAnsi="Arial" w:cs="Arial"/>
          <w:sz w:val="24"/>
          <w:szCs w:val="24"/>
          <w:lang w:val="en-US"/>
        </w:rPr>
        <w:t xml:space="preserve">Instead, we would ignore some of the income that a person has when we work out their contribution. We would only take into account a percentage of someone’s ‘disposable income’ that they have available. </w:t>
      </w:r>
      <w:r w:rsidR="00D13DB5" w:rsidRPr="00D13DB5">
        <w:rPr>
          <w:rFonts w:ascii="Arial" w:hAnsi="Arial" w:cs="Arial"/>
          <w:sz w:val="24"/>
          <w:szCs w:val="24"/>
          <w:lang w:val="en-US"/>
        </w:rPr>
        <w:t xml:space="preserve">This would produce a ‘saving’ for people and reduce the contribution they would pay. </w:t>
      </w:r>
    </w:p>
    <w:p w14:paraId="7D76E088" w14:textId="77777777" w:rsidR="00B055A6" w:rsidRPr="00D13DB5" w:rsidRDefault="00B055A6" w:rsidP="00B055A6">
      <w:pPr>
        <w:spacing w:after="0"/>
        <w:ind w:left="-426" w:right="-330"/>
        <w:rPr>
          <w:rFonts w:ascii="Arial" w:hAnsi="Arial" w:cs="Arial"/>
          <w:sz w:val="24"/>
          <w:szCs w:val="24"/>
          <w:lang w:val="en-US"/>
        </w:rPr>
      </w:pPr>
    </w:p>
    <w:p w14:paraId="4FF91687" w14:textId="4EF340D9" w:rsidR="00FC612F" w:rsidRDefault="003805A3" w:rsidP="00FC612F">
      <w:pPr>
        <w:spacing w:after="0"/>
        <w:ind w:left="-426" w:right="-330"/>
        <w:rPr>
          <w:rFonts w:ascii="Arial" w:hAnsi="Arial" w:cs="Arial"/>
          <w:sz w:val="24"/>
          <w:szCs w:val="24"/>
          <w:lang w:val="en-US"/>
        </w:rPr>
      </w:pPr>
      <w:r w:rsidRPr="00D13DB5">
        <w:rPr>
          <w:noProof/>
          <w:lang w:eastAsia="en-GB"/>
        </w:rPr>
        <w:drawing>
          <wp:anchor distT="0" distB="0" distL="114300" distR="114300" simplePos="0" relativeHeight="251664384" behindDoc="1" locked="0" layoutInCell="1" allowOverlap="1" wp14:anchorId="55818412" wp14:editId="436C924B">
            <wp:simplePos x="0" y="0"/>
            <wp:positionH relativeFrom="column">
              <wp:posOffset>1371600</wp:posOffset>
            </wp:positionH>
            <wp:positionV relativeFrom="paragraph">
              <wp:posOffset>876</wp:posOffset>
            </wp:positionV>
            <wp:extent cx="4572000" cy="2743200"/>
            <wp:effectExtent l="0" t="0" r="0" b="0"/>
            <wp:wrapTight wrapText="bothSides">
              <wp:wrapPolygon edited="0">
                <wp:start x="0" y="0"/>
                <wp:lineTo x="0" y="21450"/>
                <wp:lineTo x="21510" y="21450"/>
                <wp:lineTo x="21510" y="0"/>
                <wp:lineTo x="0" y="0"/>
              </wp:wrapPolygon>
            </wp:wrapTight>
            <wp:docPr id="7" name="Chart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8C59CE-D00D-4876-A93D-06336A88A5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Start w:id="13" w:name="_Hlk63343120"/>
      <w:r w:rsidR="00FC612F">
        <w:rPr>
          <w:rFonts w:ascii="Arial" w:hAnsi="Arial" w:cs="Arial"/>
          <w:sz w:val="24"/>
          <w:szCs w:val="24"/>
          <w:lang w:val="en-US"/>
        </w:rPr>
        <w:t xml:space="preserve">This </w:t>
      </w:r>
      <w:r w:rsidR="00FC612F" w:rsidRPr="00C01D4F">
        <w:rPr>
          <w:rFonts w:ascii="Arial" w:hAnsi="Arial" w:cs="Arial"/>
          <w:sz w:val="24"/>
          <w:szCs w:val="24"/>
          <w:lang w:val="en-US"/>
        </w:rPr>
        <w:t xml:space="preserve">graph </w:t>
      </w:r>
      <w:r w:rsidR="00FC612F">
        <w:rPr>
          <w:rFonts w:ascii="Arial" w:hAnsi="Arial" w:cs="Arial"/>
          <w:sz w:val="24"/>
          <w:szCs w:val="24"/>
          <w:lang w:val="en-US"/>
        </w:rPr>
        <w:t>illustrates what</w:t>
      </w:r>
      <w:r w:rsidR="00FC612F" w:rsidRPr="00C01D4F">
        <w:rPr>
          <w:rFonts w:ascii="Arial" w:hAnsi="Arial" w:cs="Arial"/>
          <w:sz w:val="24"/>
          <w:szCs w:val="24"/>
          <w:lang w:val="en-US"/>
        </w:rPr>
        <w:t xml:space="preserve"> option </w:t>
      </w:r>
      <w:r w:rsidR="00E07A39">
        <w:rPr>
          <w:rFonts w:ascii="Arial" w:hAnsi="Arial" w:cs="Arial"/>
          <w:sz w:val="24"/>
          <w:szCs w:val="24"/>
          <w:lang w:val="en-US"/>
        </w:rPr>
        <w:t>4</w:t>
      </w:r>
      <w:r w:rsidR="00FC612F" w:rsidRPr="00C01D4F">
        <w:rPr>
          <w:rFonts w:ascii="Arial" w:hAnsi="Arial" w:cs="Arial"/>
          <w:sz w:val="24"/>
          <w:szCs w:val="24"/>
          <w:lang w:val="en-US"/>
        </w:rPr>
        <w:t xml:space="preserve"> </w:t>
      </w:r>
      <w:r w:rsidR="00FC612F">
        <w:rPr>
          <w:rFonts w:ascii="Arial" w:hAnsi="Arial" w:cs="Arial"/>
          <w:sz w:val="24"/>
          <w:szCs w:val="24"/>
          <w:lang w:val="en-US"/>
        </w:rPr>
        <w:t>might mean for different groups of people.</w:t>
      </w:r>
      <w:r w:rsidR="00FC612F" w:rsidRPr="00C01D4F">
        <w:rPr>
          <w:rFonts w:ascii="Arial" w:hAnsi="Arial" w:cs="Arial"/>
          <w:sz w:val="24"/>
          <w:szCs w:val="24"/>
          <w:lang w:val="en-US"/>
        </w:rPr>
        <w:t xml:space="preserve"> It shows </w:t>
      </w:r>
      <w:r w:rsidR="00FC612F">
        <w:rPr>
          <w:rFonts w:ascii="Arial" w:hAnsi="Arial" w:cs="Arial"/>
          <w:sz w:val="24"/>
          <w:szCs w:val="24"/>
          <w:lang w:val="en-US"/>
        </w:rPr>
        <w:t>a</w:t>
      </w:r>
      <w:r w:rsidR="00FC612F" w:rsidRPr="00C01D4F">
        <w:rPr>
          <w:rFonts w:ascii="Arial" w:hAnsi="Arial" w:cs="Arial"/>
          <w:sz w:val="24"/>
          <w:szCs w:val="24"/>
          <w:lang w:val="en-US"/>
        </w:rPr>
        <w:t xml:space="preserve"> cost of living increase above the minimum income guarantee</w:t>
      </w:r>
      <w:r w:rsidR="00FC612F">
        <w:rPr>
          <w:rFonts w:ascii="Arial" w:hAnsi="Arial" w:cs="Arial"/>
          <w:sz w:val="24"/>
          <w:szCs w:val="24"/>
          <w:lang w:val="en-US"/>
        </w:rPr>
        <w:t>.</w:t>
      </w:r>
    </w:p>
    <w:p w14:paraId="21E227F0" w14:textId="77777777" w:rsidR="00FC612F" w:rsidRDefault="00FC612F" w:rsidP="00FC612F">
      <w:pPr>
        <w:spacing w:after="0"/>
        <w:ind w:left="-426" w:right="-330"/>
        <w:rPr>
          <w:rFonts w:ascii="Arial" w:hAnsi="Arial" w:cs="Arial"/>
          <w:sz w:val="24"/>
          <w:szCs w:val="24"/>
          <w:lang w:val="en-US"/>
        </w:rPr>
      </w:pPr>
    </w:p>
    <w:p w14:paraId="7C22F56E" w14:textId="77777777" w:rsidR="00FC612F" w:rsidRDefault="00FC612F" w:rsidP="00FC612F">
      <w:pPr>
        <w:spacing w:after="0"/>
        <w:ind w:left="-426" w:right="-330"/>
        <w:rPr>
          <w:rFonts w:ascii="Arial" w:hAnsi="Arial" w:cs="Arial"/>
          <w:sz w:val="24"/>
          <w:szCs w:val="24"/>
          <w:lang w:val="en-US"/>
        </w:rPr>
      </w:pPr>
      <w:r>
        <w:rPr>
          <w:rFonts w:ascii="Arial" w:hAnsi="Arial" w:cs="Arial"/>
          <w:sz w:val="24"/>
          <w:szCs w:val="24"/>
          <w:lang w:val="en-US"/>
        </w:rPr>
        <w:t>The figures are a guide only and aim to show how this option might broadly compare to the others.</w:t>
      </w:r>
    </w:p>
    <w:bookmarkEnd w:id="13"/>
    <w:p w14:paraId="77FE9935" w14:textId="77777777" w:rsidR="00382F14" w:rsidRPr="00D13DB5" w:rsidRDefault="00382F14" w:rsidP="00B055A6">
      <w:pPr>
        <w:spacing w:after="0"/>
        <w:ind w:left="-426" w:right="-330"/>
        <w:rPr>
          <w:rFonts w:ascii="Arial" w:hAnsi="Arial" w:cs="Arial"/>
          <w:sz w:val="24"/>
          <w:szCs w:val="24"/>
          <w:lang w:val="en-US"/>
        </w:rPr>
      </w:pPr>
    </w:p>
    <w:p w14:paraId="373B4454" w14:textId="77777777" w:rsidR="00B055A6" w:rsidRPr="00D13DB5" w:rsidRDefault="00B055A6" w:rsidP="00B055A6">
      <w:pPr>
        <w:spacing w:after="0"/>
        <w:ind w:left="-426" w:right="-330"/>
        <w:rPr>
          <w:rFonts w:ascii="Arial" w:hAnsi="Arial" w:cs="Arial"/>
          <w:b/>
          <w:bCs/>
          <w:sz w:val="24"/>
          <w:szCs w:val="24"/>
          <w:lang w:val="en"/>
        </w:rPr>
      </w:pPr>
    </w:p>
    <w:p w14:paraId="572D58C8" w14:textId="5B7FDCE2" w:rsidR="00055AD3" w:rsidRPr="00D13DB5" w:rsidRDefault="00FA71BE" w:rsidP="00B055A6">
      <w:pPr>
        <w:spacing w:after="0"/>
        <w:ind w:left="-426" w:right="-330"/>
        <w:rPr>
          <w:rFonts w:ascii="Arial" w:hAnsi="Arial" w:cs="Arial"/>
          <w:b/>
          <w:bCs/>
          <w:sz w:val="24"/>
          <w:szCs w:val="24"/>
          <w:lang w:val="en"/>
        </w:rPr>
      </w:pPr>
      <w:r w:rsidRPr="00D13DB5">
        <w:rPr>
          <w:rFonts w:ascii="Arial" w:hAnsi="Arial" w:cs="Arial"/>
          <w:sz w:val="24"/>
          <w:szCs w:val="24"/>
          <w:lang w:val="en-US"/>
        </w:rPr>
        <w:t xml:space="preserve">Our view </w:t>
      </w:r>
      <w:r w:rsidR="00BF0B60" w:rsidRPr="00D13DB5">
        <w:rPr>
          <w:rFonts w:ascii="Arial" w:hAnsi="Arial" w:cs="Arial"/>
          <w:sz w:val="24"/>
          <w:szCs w:val="24"/>
          <w:lang w:val="en-US"/>
        </w:rPr>
        <w:t>is</w:t>
      </w:r>
      <w:r w:rsidR="00055AD3" w:rsidRPr="00D13DB5">
        <w:rPr>
          <w:rFonts w:ascii="Arial" w:hAnsi="Arial" w:cs="Arial"/>
          <w:sz w:val="24"/>
          <w:szCs w:val="24"/>
          <w:lang w:val="en-US"/>
        </w:rPr>
        <w:t xml:space="preserve"> that people with higher income would see the most positive </w:t>
      </w:r>
      <w:r w:rsidR="00BF0B60" w:rsidRPr="00D13DB5">
        <w:rPr>
          <w:rFonts w:ascii="Arial" w:hAnsi="Arial" w:cs="Arial"/>
          <w:sz w:val="24"/>
          <w:szCs w:val="24"/>
          <w:lang w:val="en-US"/>
        </w:rPr>
        <w:t xml:space="preserve">financial </w:t>
      </w:r>
      <w:r w:rsidR="00055AD3" w:rsidRPr="00D13DB5">
        <w:rPr>
          <w:rFonts w:ascii="Arial" w:hAnsi="Arial" w:cs="Arial"/>
          <w:sz w:val="24"/>
          <w:szCs w:val="24"/>
          <w:lang w:val="en-US"/>
        </w:rPr>
        <w:t xml:space="preserve">impact </w:t>
      </w:r>
      <w:r w:rsidR="00BF0B60" w:rsidRPr="00D13DB5">
        <w:rPr>
          <w:rFonts w:ascii="Arial" w:hAnsi="Arial" w:cs="Arial"/>
          <w:sz w:val="24"/>
          <w:szCs w:val="24"/>
          <w:lang w:val="en-US"/>
        </w:rPr>
        <w:t xml:space="preserve">from option </w:t>
      </w:r>
      <w:r w:rsidR="00E07A39">
        <w:rPr>
          <w:rFonts w:ascii="Arial" w:hAnsi="Arial" w:cs="Arial"/>
          <w:sz w:val="24"/>
          <w:szCs w:val="24"/>
          <w:lang w:val="en-US"/>
        </w:rPr>
        <w:t xml:space="preserve">4 </w:t>
      </w:r>
      <w:r w:rsidR="00055AD3" w:rsidRPr="00D13DB5">
        <w:rPr>
          <w:rFonts w:ascii="Arial" w:hAnsi="Arial" w:cs="Arial"/>
          <w:sz w:val="24"/>
          <w:szCs w:val="24"/>
          <w:lang w:val="en-US"/>
        </w:rPr>
        <w:t>and people with the lowest incomes would see the least.</w:t>
      </w:r>
      <w:r w:rsidR="00BF0B60" w:rsidRPr="00D13DB5">
        <w:rPr>
          <w:rFonts w:ascii="Arial" w:hAnsi="Arial" w:cs="Arial"/>
          <w:sz w:val="24"/>
          <w:szCs w:val="24"/>
          <w:lang w:val="en-US"/>
        </w:rPr>
        <w:t xml:space="preserve"> We therefore do not prefer this option.</w:t>
      </w:r>
    </w:p>
    <w:p w14:paraId="0D58B3BC" w14:textId="77777777" w:rsidR="000B06F3" w:rsidRPr="00D13DB5" w:rsidRDefault="000B06F3">
      <w:pPr>
        <w:rPr>
          <w:rFonts w:ascii="Arial" w:hAnsi="Arial" w:cs="Arial"/>
          <w:b/>
          <w:bCs/>
          <w:sz w:val="24"/>
          <w:szCs w:val="24"/>
          <w:lang w:val="en-US"/>
        </w:rPr>
      </w:pPr>
      <w:r w:rsidRPr="00D13DB5">
        <w:rPr>
          <w:rFonts w:ascii="Arial" w:hAnsi="Arial" w:cs="Arial"/>
          <w:b/>
          <w:bCs/>
          <w:sz w:val="24"/>
          <w:szCs w:val="24"/>
          <w:lang w:val="en-US"/>
        </w:rPr>
        <w:br w:type="page"/>
      </w:r>
    </w:p>
    <w:p w14:paraId="1028A7F0" w14:textId="77777777" w:rsidR="008E742F" w:rsidRDefault="000B06F3" w:rsidP="008E742F">
      <w:pPr>
        <w:spacing w:after="0"/>
        <w:ind w:left="-426" w:right="-330"/>
        <w:rPr>
          <w:rFonts w:ascii="Arial" w:hAnsi="Arial" w:cs="Arial"/>
          <w:b/>
          <w:bCs/>
          <w:sz w:val="24"/>
          <w:szCs w:val="24"/>
          <w:lang w:val="en"/>
        </w:rPr>
      </w:pPr>
      <w:bookmarkStart w:id="14" w:name="_Hlk63342634"/>
      <w:r w:rsidRPr="000B06F3">
        <w:rPr>
          <w:rFonts w:ascii="Arial" w:hAnsi="Arial" w:cs="Arial"/>
          <w:b/>
          <w:bCs/>
          <w:sz w:val="24"/>
          <w:szCs w:val="24"/>
          <w:lang w:val="en-US"/>
        </w:rPr>
        <w:t xml:space="preserve">Option 5 - Increase the cost of living allowance </w:t>
      </w:r>
      <w:r w:rsidR="008E742F">
        <w:rPr>
          <w:rFonts w:ascii="Arial" w:hAnsi="Arial" w:cs="Arial"/>
          <w:b/>
          <w:bCs/>
          <w:sz w:val="24"/>
          <w:szCs w:val="24"/>
          <w:lang w:val="en-US"/>
        </w:rPr>
        <w:t xml:space="preserve">by the same amount of money for </w:t>
      </w:r>
      <w:r w:rsidRPr="000B06F3">
        <w:rPr>
          <w:rFonts w:ascii="Arial" w:hAnsi="Arial" w:cs="Arial"/>
          <w:b/>
          <w:bCs/>
          <w:sz w:val="24"/>
          <w:szCs w:val="24"/>
          <w:lang w:val="en-US"/>
        </w:rPr>
        <w:t>everyone</w:t>
      </w:r>
      <w:bookmarkEnd w:id="14"/>
    </w:p>
    <w:p w14:paraId="7FE49C55" w14:textId="77777777" w:rsidR="008E742F" w:rsidRDefault="008E742F" w:rsidP="008E742F">
      <w:pPr>
        <w:spacing w:after="0"/>
        <w:ind w:left="-426" w:right="-330"/>
        <w:rPr>
          <w:rFonts w:ascii="Arial" w:hAnsi="Arial" w:cs="Arial"/>
          <w:b/>
          <w:bCs/>
          <w:sz w:val="24"/>
          <w:szCs w:val="24"/>
          <w:lang w:val="en"/>
        </w:rPr>
      </w:pPr>
    </w:p>
    <w:p w14:paraId="7D39BAF6" w14:textId="461EC16E" w:rsidR="008E742F" w:rsidRDefault="00055AD3" w:rsidP="008E742F">
      <w:pPr>
        <w:spacing w:after="0"/>
        <w:ind w:left="-426" w:right="-330"/>
        <w:rPr>
          <w:rFonts w:ascii="Arial" w:hAnsi="Arial" w:cs="Arial"/>
          <w:b/>
          <w:bCs/>
          <w:sz w:val="24"/>
          <w:szCs w:val="24"/>
          <w:lang w:val="en"/>
        </w:rPr>
      </w:pPr>
      <w:r w:rsidRPr="00C31691">
        <w:rPr>
          <w:rFonts w:ascii="Arial" w:hAnsi="Arial" w:cs="Arial"/>
          <w:b/>
          <w:bCs/>
          <w:sz w:val="24"/>
          <w:szCs w:val="24"/>
          <w:lang w:val="en-US"/>
        </w:rPr>
        <w:t>This is our preferred option.</w:t>
      </w:r>
      <w:r w:rsidRPr="00C31691">
        <w:rPr>
          <w:rFonts w:ascii="Arial" w:hAnsi="Arial" w:cs="Arial"/>
          <w:sz w:val="24"/>
          <w:szCs w:val="24"/>
          <w:lang w:val="en-US"/>
        </w:rPr>
        <w:t xml:space="preserve"> Everyone would get the same increase</w:t>
      </w:r>
      <w:r w:rsidR="008E742F">
        <w:rPr>
          <w:rFonts w:ascii="Arial" w:hAnsi="Arial" w:cs="Arial"/>
          <w:sz w:val="24"/>
          <w:szCs w:val="24"/>
          <w:lang w:val="en-US"/>
        </w:rPr>
        <w:t>. Option 5</w:t>
      </w:r>
      <w:r w:rsidRPr="00C31691">
        <w:rPr>
          <w:rFonts w:ascii="Arial" w:hAnsi="Arial" w:cs="Arial"/>
          <w:sz w:val="24"/>
          <w:szCs w:val="24"/>
          <w:lang w:val="en-US"/>
        </w:rPr>
        <w:t xml:space="preserve"> would benefit </w:t>
      </w:r>
      <w:r w:rsidR="00626A9F">
        <w:rPr>
          <w:rFonts w:ascii="Arial" w:hAnsi="Arial" w:cs="Arial"/>
          <w:sz w:val="24"/>
          <w:szCs w:val="24"/>
          <w:lang w:val="en-US"/>
        </w:rPr>
        <w:t>everyone equally</w:t>
      </w:r>
      <w:r w:rsidRPr="00C31691">
        <w:rPr>
          <w:rFonts w:ascii="Arial" w:hAnsi="Arial" w:cs="Arial"/>
          <w:sz w:val="24"/>
          <w:szCs w:val="24"/>
          <w:lang w:val="en-US"/>
        </w:rPr>
        <w:t xml:space="preserve">. </w:t>
      </w:r>
      <w:r w:rsidR="00AA66EB">
        <w:rPr>
          <w:rFonts w:ascii="Arial" w:hAnsi="Arial" w:cs="Arial"/>
          <w:sz w:val="24"/>
          <w:szCs w:val="24"/>
          <w:lang w:val="en-US"/>
        </w:rPr>
        <w:t>In financial terms, i</w:t>
      </w:r>
      <w:r w:rsidR="008E742F">
        <w:rPr>
          <w:rFonts w:ascii="Arial" w:hAnsi="Arial" w:cs="Arial"/>
          <w:sz w:val="24"/>
          <w:szCs w:val="24"/>
          <w:lang w:val="en-US"/>
        </w:rPr>
        <w:t>t</w:t>
      </w:r>
      <w:r w:rsidRPr="00C31691">
        <w:rPr>
          <w:rFonts w:ascii="Arial" w:hAnsi="Arial" w:cs="Arial"/>
          <w:sz w:val="24"/>
          <w:szCs w:val="24"/>
          <w:lang w:val="en-US"/>
        </w:rPr>
        <w:t xml:space="preserve"> would mean </w:t>
      </w:r>
      <w:r w:rsidR="00AA66EB">
        <w:rPr>
          <w:rFonts w:ascii="Arial" w:hAnsi="Arial" w:cs="Arial"/>
          <w:sz w:val="24"/>
          <w:szCs w:val="24"/>
          <w:lang w:val="en-US"/>
        </w:rPr>
        <w:t xml:space="preserve">the most to people </w:t>
      </w:r>
      <w:r w:rsidRPr="00C31691">
        <w:rPr>
          <w:rFonts w:ascii="Arial" w:hAnsi="Arial" w:cs="Arial"/>
          <w:sz w:val="24"/>
          <w:szCs w:val="24"/>
          <w:lang w:val="en-US"/>
        </w:rPr>
        <w:t>with the lowest income</w:t>
      </w:r>
      <w:r w:rsidR="00AA66EB">
        <w:rPr>
          <w:rFonts w:ascii="Arial" w:hAnsi="Arial" w:cs="Arial"/>
          <w:sz w:val="24"/>
          <w:szCs w:val="24"/>
          <w:lang w:val="en-US"/>
        </w:rPr>
        <w:t>.</w:t>
      </w:r>
    </w:p>
    <w:p w14:paraId="16DBC695" w14:textId="77777777" w:rsidR="008E742F" w:rsidRDefault="008E742F" w:rsidP="008E742F">
      <w:pPr>
        <w:spacing w:after="0"/>
        <w:ind w:left="-426" w:right="-330"/>
        <w:rPr>
          <w:rFonts w:ascii="Arial" w:hAnsi="Arial" w:cs="Arial"/>
          <w:sz w:val="24"/>
          <w:szCs w:val="24"/>
          <w:lang w:val="en-US"/>
        </w:rPr>
      </w:pPr>
    </w:p>
    <w:p w14:paraId="11D786E0" w14:textId="09600355" w:rsidR="00FC612F" w:rsidRDefault="00E76257" w:rsidP="00FC612F">
      <w:pPr>
        <w:spacing w:after="0"/>
        <w:ind w:left="-426" w:right="-330"/>
        <w:rPr>
          <w:rFonts w:ascii="Arial" w:hAnsi="Arial" w:cs="Arial"/>
          <w:sz w:val="24"/>
          <w:szCs w:val="24"/>
          <w:lang w:val="en-US"/>
        </w:rPr>
      </w:pPr>
      <w:r>
        <w:rPr>
          <w:noProof/>
          <w:lang w:eastAsia="en-GB"/>
        </w:rPr>
        <w:drawing>
          <wp:anchor distT="0" distB="0" distL="114300" distR="114300" simplePos="0" relativeHeight="251666432" behindDoc="1" locked="0" layoutInCell="1" allowOverlap="1" wp14:anchorId="29F4EAC2" wp14:editId="7C379BBB">
            <wp:simplePos x="0" y="0"/>
            <wp:positionH relativeFrom="column">
              <wp:posOffset>1371600</wp:posOffset>
            </wp:positionH>
            <wp:positionV relativeFrom="paragraph">
              <wp:posOffset>2524</wp:posOffset>
            </wp:positionV>
            <wp:extent cx="4572000" cy="2743200"/>
            <wp:effectExtent l="0" t="0" r="0" b="0"/>
            <wp:wrapTight wrapText="bothSides">
              <wp:wrapPolygon edited="0">
                <wp:start x="0" y="0"/>
                <wp:lineTo x="0" y="21450"/>
                <wp:lineTo x="21510" y="21450"/>
                <wp:lineTo x="21510" y="0"/>
                <wp:lineTo x="0" y="0"/>
              </wp:wrapPolygon>
            </wp:wrapTight>
            <wp:docPr id="10" name="Chart 10">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CD284E2-1114-4D0E-8E31-41D344892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bookmarkStart w:id="15" w:name="_Hlk63351472"/>
      <w:r w:rsidR="00D5322F" w:rsidRPr="00C01D4F">
        <w:rPr>
          <w:rFonts w:ascii="Arial" w:hAnsi="Arial" w:cs="Arial"/>
          <w:sz w:val="24"/>
          <w:szCs w:val="24"/>
          <w:lang w:val="en-US"/>
        </w:rPr>
        <w:t xml:space="preserve">This </w:t>
      </w:r>
      <w:bookmarkEnd w:id="15"/>
      <w:r w:rsidR="00FC612F" w:rsidRPr="00C01D4F">
        <w:rPr>
          <w:rFonts w:ascii="Arial" w:hAnsi="Arial" w:cs="Arial"/>
          <w:sz w:val="24"/>
          <w:szCs w:val="24"/>
          <w:lang w:val="en-US"/>
        </w:rPr>
        <w:t xml:space="preserve">graph </w:t>
      </w:r>
      <w:r w:rsidR="00FC612F">
        <w:rPr>
          <w:rFonts w:ascii="Arial" w:hAnsi="Arial" w:cs="Arial"/>
          <w:sz w:val="24"/>
          <w:szCs w:val="24"/>
          <w:lang w:val="en-US"/>
        </w:rPr>
        <w:t>illustrates what</w:t>
      </w:r>
      <w:r w:rsidR="00FC612F" w:rsidRPr="00C01D4F">
        <w:rPr>
          <w:rFonts w:ascii="Arial" w:hAnsi="Arial" w:cs="Arial"/>
          <w:sz w:val="24"/>
          <w:szCs w:val="24"/>
          <w:lang w:val="en-US"/>
        </w:rPr>
        <w:t xml:space="preserve"> option </w:t>
      </w:r>
      <w:r w:rsidR="00E07A39">
        <w:rPr>
          <w:rFonts w:ascii="Arial" w:hAnsi="Arial" w:cs="Arial"/>
          <w:sz w:val="24"/>
          <w:szCs w:val="24"/>
          <w:lang w:val="en-US"/>
        </w:rPr>
        <w:t>5</w:t>
      </w:r>
      <w:r w:rsidR="00FC612F" w:rsidRPr="00C01D4F">
        <w:rPr>
          <w:rFonts w:ascii="Arial" w:hAnsi="Arial" w:cs="Arial"/>
          <w:sz w:val="24"/>
          <w:szCs w:val="24"/>
          <w:lang w:val="en-US"/>
        </w:rPr>
        <w:t xml:space="preserve"> </w:t>
      </w:r>
      <w:r w:rsidR="00FC612F">
        <w:rPr>
          <w:rFonts w:ascii="Arial" w:hAnsi="Arial" w:cs="Arial"/>
          <w:sz w:val="24"/>
          <w:szCs w:val="24"/>
          <w:lang w:val="en-US"/>
        </w:rPr>
        <w:t>might mean for different groups of people.</w:t>
      </w:r>
      <w:r w:rsidR="00FC612F" w:rsidRPr="00C01D4F">
        <w:rPr>
          <w:rFonts w:ascii="Arial" w:hAnsi="Arial" w:cs="Arial"/>
          <w:sz w:val="24"/>
          <w:szCs w:val="24"/>
          <w:lang w:val="en-US"/>
        </w:rPr>
        <w:t xml:space="preserve"> It shows </w:t>
      </w:r>
      <w:r w:rsidR="00FC612F">
        <w:rPr>
          <w:rFonts w:ascii="Arial" w:hAnsi="Arial" w:cs="Arial"/>
          <w:sz w:val="24"/>
          <w:szCs w:val="24"/>
          <w:lang w:val="en-US"/>
        </w:rPr>
        <w:t>a</w:t>
      </w:r>
      <w:r w:rsidR="00FC612F" w:rsidRPr="00C01D4F">
        <w:rPr>
          <w:rFonts w:ascii="Arial" w:hAnsi="Arial" w:cs="Arial"/>
          <w:sz w:val="24"/>
          <w:szCs w:val="24"/>
          <w:lang w:val="en-US"/>
        </w:rPr>
        <w:t xml:space="preserve"> cost of living increase above the minimum income guarantee</w:t>
      </w:r>
      <w:r w:rsidR="00FC612F">
        <w:rPr>
          <w:rFonts w:ascii="Arial" w:hAnsi="Arial" w:cs="Arial"/>
          <w:sz w:val="24"/>
          <w:szCs w:val="24"/>
          <w:lang w:val="en-US"/>
        </w:rPr>
        <w:t>.</w:t>
      </w:r>
    </w:p>
    <w:p w14:paraId="145E0C2E" w14:textId="77777777" w:rsidR="00FC612F" w:rsidRDefault="00FC612F" w:rsidP="00FC612F">
      <w:pPr>
        <w:spacing w:after="0"/>
        <w:ind w:left="-426" w:right="-330"/>
        <w:rPr>
          <w:rFonts w:ascii="Arial" w:hAnsi="Arial" w:cs="Arial"/>
          <w:sz w:val="24"/>
          <w:szCs w:val="24"/>
          <w:lang w:val="en-US"/>
        </w:rPr>
      </w:pPr>
    </w:p>
    <w:p w14:paraId="7705FB27" w14:textId="77777777" w:rsidR="00FC612F" w:rsidRDefault="00FC612F" w:rsidP="00FC612F">
      <w:pPr>
        <w:spacing w:after="0"/>
        <w:ind w:left="-426" w:right="-330"/>
        <w:rPr>
          <w:rFonts w:ascii="Arial" w:hAnsi="Arial" w:cs="Arial"/>
          <w:sz w:val="24"/>
          <w:szCs w:val="24"/>
          <w:lang w:val="en-US"/>
        </w:rPr>
      </w:pPr>
      <w:r>
        <w:rPr>
          <w:rFonts w:ascii="Arial" w:hAnsi="Arial" w:cs="Arial"/>
          <w:sz w:val="24"/>
          <w:szCs w:val="24"/>
          <w:lang w:val="en-US"/>
        </w:rPr>
        <w:t>The figures are a guide only and aim to show how this option might broadly compare to the others.</w:t>
      </w:r>
    </w:p>
    <w:p w14:paraId="4286C131" w14:textId="3B80FB15" w:rsidR="00D5322F" w:rsidRDefault="00D5322F" w:rsidP="00D5322F">
      <w:pPr>
        <w:spacing w:after="0"/>
        <w:ind w:left="-426" w:right="-330"/>
        <w:rPr>
          <w:rFonts w:ascii="Arial" w:hAnsi="Arial" w:cs="Arial"/>
          <w:sz w:val="24"/>
          <w:szCs w:val="24"/>
          <w:lang w:val="en-US"/>
        </w:rPr>
      </w:pPr>
    </w:p>
    <w:p w14:paraId="186E0694" w14:textId="77777777" w:rsidR="008E742F" w:rsidRDefault="008E742F" w:rsidP="008E742F">
      <w:pPr>
        <w:spacing w:after="0"/>
        <w:ind w:left="-426" w:right="-330"/>
        <w:rPr>
          <w:rFonts w:ascii="Arial" w:hAnsi="Arial" w:cs="Arial"/>
          <w:sz w:val="24"/>
          <w:szCs w:val="24"/>
          <w:lang w:val="en-US"/>
        </w:rPr>
      </w:pPr>
    </w:p>
    <w:p w14:paraId="4D2821B9" w14:textId="159535D8" w:rsidR="00055AD3" w:rsidRPr="00B8735C" w:rsidRDefault="00A92185" w:rsidP="00B8735C">
      <w:pPr>
        <w:spacing w:after="0"/>
        <w:ind w:left="-426" w:right="-330"/>
        <w:rPr>
          <w:rFonts w:ascii="Arial" w:hAnsi="Arial" w:cs="Arial"/>
          <w:sz w:val="24"/>
          <w:szCs w:val="24"/>
          <w:lang w:val="en-US"/>
        </w:rPr>
      </w:pPr>
      <w:r>
        <w:rPr>
          <w:rFonts w:ascii="Arial" w:hAnsi="Arial" w:cs="Arial"/>
          <w:sz w:val="24"/>
          <w:szCs w:val="24"/>
          <w:lang w:val="en-US"/>
        </w:rPr>
        <w:t>Our view is that thi</w:t>
      </w:r>
      <w:r w:rsidR="00055AD3" w:rsidRPr="00C31691">
        <w:rPr>
          <w:rFonts w:ascii="Arial" w:hAnsi="Arial" w:cs="Arial"/>
          <w:sz w:val="24"/>
          <w:szCs w:val="24"/>
          <w:lang w:val="en-US"/>
        </w:rPr>
        <w:t xml:space="preserve">s would be the fairest option for </w:t>
      </w:r>
      <w:r>
        <w:rPr>
          <w:rFonts w:ascii="Arial" w:hAnsi="Arial" w:cs="Arial"/>
          <w:sz w:val="24"/>
          <w:szCs w:val="24"/>
          <w:lang w:val="en-US"/>
        </w:rPr>
        <w:t>increasing</w:t>
      </w:r>
      <w:r w:rsidR="00055AD3" w:rsidRPr="00C31691">
        <w:rPr>
          <w:rFonts w:ascii="Arial" w:hAnsi="Arial" w:cs="Arial"/>
          <w:sz w:val="24"/>
          <w:szCs w:val="24"/>
          <w:lang w:val="en-US"/>
        </w:rPr>
        <w:t xml:space="preserve"> the cost of living allowance.</w:t>
      </w:r>
      <w:r>
        <w:rPr>
          <w:rFonts w:ascii="Arial" w:hAnsi="Arial" w:cs="Arial"/>
          <w:sz w:val="24"/>
          <w:szCs w:val="24"/>
          <w:lang w:val="en-US"/>
        </w:rPr>
        <w:t xml:space="preserve"> </w:t>
      </w:r>
      <w:r w:rsidRPr="007D4FEE">
        <w:rPr>
          <w:rFonts w:ascii="Arial" w:hAnsi="Arial" w:cs="Arial"/>
          <w:sz w:val="24"/>
          <w:szCs w:val="24"/>
          <w:lang w:val="en-US"/>
        </w:rPr>
        <w:t>Option 5 is therefore out preferred option.</w:t>
      </w:r>
    </w:p>
    <w:p w14:paraId="17A289E8" w14:textId="77777777" w:rsidR="00055AD3" w:rsidRPr="00055AD3" w:rsidRDefault="00055AD3" w:rsidP="00055AD3">
      <w:pPr>
        <w:spacing w:after="0"/>
        <w:rPr>
          <w:rFonts w:ascii="Arial" w:hAnsi="Arial" w:cs="Arial"/>
          <w:sz w:val="24"/>
          <w:szCs w:val="24"/>
        </w:rPr>
      </w:pPr>
    </w:p>
    <w:p w14:paraId="3EDB5F77" w14:textId="77777777" w:rsidR="00055AD3" w:rsidRPr="00055AD3" w:rsidRDefault="00055AD3" w:rsidP="00055AD3">
      <w:pPr>
        <w:spacing w:after="0"/>
        <w:ind w:left="1440" w:right="-330" w:hanging="1866"/>
        <w:rPr>
          <w:rFonts w:ascii="Arial" w:hAnsi="Arial" w:cs="Arial"/>
          <w:sz w:val="28"/>
          <w:szCs w:val="28"/>
        </w:rPr>
      </w:pPr>
    </w:p>
    <w:sectPr w:rsidR="00055AD3" w:rsidRPr="00055AD3" w:rsidSect="00C01D4F">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EE954" w14:textId="77777777" w:rsidR="00E55030" w:rsidRDefault="00E55030" w:rsidP="00E831BA">
      <w:pPr>
        <w:spacing w:after="0" w:line="240" w:lineRule="auto"/>
      </w:pPr>
      <w:r>
        <w:separator/>
      </w:r>
    </w:p>
  </w:endnote>
  <w:endnote w:type="continuationSeparator" w:id="0">
    <w:p w14:paraId="45462445" w14:textId="77777777" w:rsidR="00E55030" w:rsidRDefault="00E55030" w:rsidP="00E8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FABA0" w14:textId="77777777" w:rsidR="00E55030" w:rsidRDefault="00E55030" w:rsidP="00E831BA">
      <w:pPr>
        <w:spacing w:after="0" w:line="240" w:lineRule="auto"/>
      </w:pPr>
      <w:r>
        <w:separator/>
      </w:r>
    </w:p>
  </w:footnote>
  <w:footnote w:type="continuationSeparator" w:id="0">
    <w:p w14:paraId="1B6EE2C5" w14:textId="77777777" w:rsidR="00E55030" w:rsidRDefault="00E55030" w:rsidP="00E83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CF7"/>
    <w:multiLevelType w:val="multilevel"/>
    <w:tmpl w:val="2064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82174"/>
    <w:multiLevelType w:val="multilevel"/>
    <w:tmpl w:val="33BC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2B0850"/>
    <w:multiLevelType w:val="multilevel"/>
    <w:tmpl w:val="270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C0CBC"/>
    <w:multiLevelType w:val="multilevel"/>
    <w:tmpl w:val="2702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62A5E"/>
    <w:multiLevelType w:val="multilevel"/>
    <w:tmpl w:val="4C0C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C86463"/>
    <w:multiLevelType w:val="multilevel"/>
    <w:tmpl w:val="D92E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55BD3"/>
    <w:multiLevelType w:val="hybridMultilevel"/>
    <w:tmpl w:val="E760030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3C"/>
    <w:rsid w:val="00055AD3"/>
    <w:rsid w:val="000650A8"/>
    <w:rsid w:val="000871C7"/>
    <w:rsid w:val="00091A09"/>
    <w:rsid w:val="000B06F3"/>
    <w:rsid w:val="000F381C"/>
    <w:rsid w:val="00174365"/>
    <w:rsid w:val="001B6278"/>
    <w:rsid w:val="00287691"/>
    <w:rsid w:val="002A115F"/>
    <w:rsid w:val="003805A3"/>
    <w:rsid w:val="00382F14"/>
    <w:rsid w:val="00397525"/>
    <w:rsid w:val="003C7E0F"/>
    <w:rsid w:val="003F601C"/>
    <w:rsid w:val="00413EAE"/>
    <w:rsid w:val="004147C4"/>
    <w:rsid w:val="004E4046"/>
    <w:rsid w:val="00520958"/>
    <w:rsid w:val="005A349D"/>
    <w:rsid w:val="005B0F70"/>
    <w:rsid w:val="005D0025"/>
    <w:rsid w:val="0060593F"/>
    <w:rsid w:val="00626A9F"/>
    <w:rsid w:val="00640BBF"/>
    <w:rsid w:val="00650DE6"/>
    <w:rsid w:val="00680AE5"/>
    <w:rsid w:val="006948DF"/>
    <w:rsid w:val="006C7702"/>
    <w:rsid w:val="0079206C"/>
    <w:rsid w:val="007D2521"/>
    <w:rsid w:val="007D4FEE"/>
    <w:rsid w:val="00835EB7"/>
    <w:rsid w:val="008C397F"/>
    <w:rsid w:val="008E742F"/>
    <w:rsid w:val="00951C56"/>
    <w:rsid w:val="009924CB"/>
    <w:rsid w:val="00A10CFC"/>
    <w:rsid w:val="00A2004E"/>
    <w:rsid w:val="00A21852"/>
    <w:rsid w:val="00A31AFB"/>
    <w:rsid w:val="00A33097"/>
    <w:rsid w:val="00A3585C"/>
    <w:rsid w:val="00A60943"/>
    <w:rsid w:val="00A92185"/>
    <w:rsid w:val="00A93C17"/>
    <w:rsid w:val="00AA29D1"/>
    <w:rsid w:val="00AA66EB"/>
    <w:rsid w:val="00AC673C"/>
    <w:rsid w:val="00AF6A8C"/>
    <w:rsid w:val="00B055A6"/>
    <w:rsid w:val="00B2012E"/>
    <w:rsid w:val="00B8735C"/>
    <w:rsid w:val="00BE0014"/>
    <w:rsid w:val="00BF0B60"/>
    <w:rsid w:val="00C01D4F"/>
    <w:rsid w:val="00C56AE0"/>
    <w:rsid w:val="00CC24A2"/>
    <w:rsid w:val="00D13DB5"/>
    <w:rsid w:val="00D5322F"/>
    <w:rsid w:val="00D7472E"/>
    <w:rsid w:val="00D95B70"/>
    <w:rsid w:val="00E07A39"/>
    <w:rsid w:val="00E35C8A"/>
    <w:rsid w:val="00E54B8D"/>
    <w:rsid w:val="00E55030"/>
    <w:rsid w:val="00E76257"/>
    <w:rsid w:val="00E831BA"/>
    <w:rsid w:val="00E843CA"/>
    <w:rsid w:val="00E96377"/>
    <w:rsid w:val="00EC6FE1"/>
    <w:rsid w:val="00EE1CF6"/>
    <w:rsid w:val="00F17801"/>
    <w:rsid w:val="00F76758"/>
    <w:rsid w:val="00FA71BE"/>
    <w:rsid w:val="00FC612F"/>
    <w:rsid w:val="00FD6BE6"/>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1BA"/>
  </w:style>
  <w:style w:type="paragraph" w:styleId="Footer">
    <w:name w:val="footer"/>
    <w:basedOn w:val="Normal"/>
    <w:link w:val="FooterChar"/>
    <w:uiPriority w:val="99"/>
    <w:unhideWhenUsed/>
    <w:rsid w:val="00E83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1BA"/>
  </w:style>
  <w:style w:type="character" w:styleId="Hyperlink">
    <w:name w:val="Hyperlink"/>
    <w:basedOn w:val="DefaultParagraphFont"/>
    <w:uiPriority w:val="99"/>
    <w:unhideWhenUsed/>
    <w:rsid w:val="00E831BA"/>
    <w:rPr>
      <w:color w:val="0563C1" w:themeColor="hyperlink"/>
      <w:u w:val="single"/>
    </w:rPr>
  </w:style>
  <w:style w:type="character" w:customStyle="1" w:styleId="UnresolvedMention">
    <w:name w:val="Unresolved Mention"/>
    <w:basedOn w:val="DefaultParagraphFont"/>
    <w:uiPriority w:val="99"/>
    <w:semiHidden/>
    <w:unhideWhenUsed/>
    <w:rsid w:val="00E831BA"/>
    <w:rPr>
      <w:color w:val="605E5C"/>
      <w:shd w:val="clear" w:color="auto" w:fill="E1DFDD"/>
    </w:rPr>
  </w:style>
  <w:style w:type="paragraph" w:styleId="ListParagraph">
    <w:name w:val="List Paragraph"/>
    <w:basedOn w:val="Normal"/>
    <w:uiPriority w:val="34"/>
    <w:qFormat/>
    <w:rsid w:val="0079206C"/>
    <w:pPr>
      <w:ind w:left="720"/>
      <w:contextualSpacing/>
    </w:pPr>
  </w:style>
  <w:style w:type="character" w:styleId="FollowedHyperlink">
    <w:name w:val="FollowedHyperlink"/>
    <w:basedOn w:val="DefaultParagraphFont"/>
    <w:uiPriority w:val="99"/>
    <w:semiHidden/>
    <w:unhideWhenUsed/>
    <w:rsid w:val="00AA66EB"/>
    <w:rPr>
      <w:color w:val="954F72" w:themeColor="followedHyperlink"/>
      <w:u w:val="single"/>
    </w:rPr>
  </w:style>
  <w:style w:type="paragraph" w:styleId="BalloonText">
    <w:name w:val="Balloon Text"/>
    <w:basedOn w:val="Normal"/>
    <w:link w:val="BalloonTextChar"/>
    <w:uiPriority w:val="99"/>
    <w:semiHidden/>
    <w:unhideWhenUsed/>
    <w:rsid w:val="00174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1BA"/>
  </w:style>
  <w:style w:type="paragraph" w:styleId="Footer">
    <w:name w:val="footer"/>
    <w:basedOn w:val="Normal"/>
    <w:link w:val="FooterChar"/>
    <w:uiPriority w:val="99"/>
    <w:unhideWhenUsed/>
    <w:rsid w:val="00E83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1BA"/>
  </w:style>
  <w:style w:type="character" w:styleId="Hyperlink">
    <w:name w:val="Hyperlink"/>
    <w:basedOn w:val="DefaultParagraphFont"/>
    <w:uiPriority w:val="99"/>
    <w:unhideWhenUsed/>
    <w:rsid w:val="00E831BA"/>
    <w:rPr>
      <w:color w:val="0563C1" w:themeColor="hyperlink"/>
      <w:u w:val="single"/>
    </w:rPr>
  </w:style>
  <w:style w:type="character" w:customStyle="1" w:styleId="UnresolvedMention">
    <w:name w:val="Unresolved Mention"/>
    <w:basedOn w:val="DefaultParagraphFont"/>
    <w:uiPriority w:val="99"/>
    <w:semiHidden/>
    <w:unhideWhenUsed/>
    <w:rsid w:val="00E831BA"/>
    <w:rPr>
      <w:color w:val="605E5C"/>
      <w:shd w:val="clear" w:color="auto" w:fill="E1DFDD"/>
    </w:rPr>
  </w:style>
  <w:style w:type="paragraph" w:styleId="ListParagraph">
    <w:name w:val="List Paragraph"/>
    <w:basedOn w:val="Normal"/>
    <w:uiPriority w:val="34"/>
    <w:qFormat/>
    <w:rsid w:val="0079206C"/>
    <w:pPr>
      <w:ind w:left="720"/>
      <w:contextualSpacing/>
    </w:pPr>
  </w:style>
  <w:style w:type="character" w:styleId="FollowedHyperlink">
    <w:name w:val="FollowedHyperlink"/>
    <w:basedOn w:val="DefaultParagraphFont"/>
    <w:uiPriority w:val="99"/>
    <w:semiHidden/>
    <w:unhideWhenUsed/>
    <w:rsid w:val="00AA66EB"/>
    <w:rPr>
      <w:color w:val="954F72" w:themeColor="followedHyperlink"/>
      <w:u w:val="single"/>
    </w:rPr>
  </w:style>
  <w:style w:type="paragraph" w:styleId="BalloonText">
    <w:name w:val="Balloon Text"/>
    <w:basedOn w:val="Normal"/>
    <w:link w:val="BalloonTextChar"/>
    <w:uiPriority w:val="99"/>
    <w:semiHidden/>
    <w:unhideWhenUsed/>
    <w:rsid w:val="00174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nding.team@sheffield.gov.uk"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https://sheffield.citizenspace.com/communities-business-strategy/adult-social-care-cost-of-living-allowance/consult_vi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Bahnschrift" panose="020B0502040204020203" pitchFamily="34" charset="0"/>
                <a:ea typeface="+mn-ea"/>
                <a:cs typeface="+mn-cs"/>
              </a:defRPr>
            </a:pPr>
            <a:r>
              <a:rPr lang="en-GB">
                <a:latin typeface="Bahnschrift" panose="020B0502040204020203" pitchFamily="34" charset="0"/>
              </a:rPr>
              <a:t>Increase in cost of</a:t>
            </a:r>
            <a:r>
              <a:rPr lang="en-GB" baseline="0">
                <a:latin typeface="Bahnschrift" panose="020B0502040204020203" pitchFamily="34" charset="0"/>
              </a:rPr>
              <a:t> living above </a:t>
            </a:r>
          </a:p>
          <a:p>
            <a:pPr algn="l">
              <a:defRPr sz="1400" b="0" i="0" u="none" strike="noStrike" kern="1200" spc="0" baseline="0">
                <a:solidFill>
                  <a:schemeClr val="tx1">
                    <a:lumMod val="65000"/>
                    <a:lumOff val="35000"/>
                  </a:schemeClr>
                </a:solidFill>
                <a:latin typeface="Bahnschrift" panose="020B0502040204020203" pitchFamily="34" charset="0"/>
                <a:ea typeface="+mn-ea"/>
                <a:cs typeface="+mn-cs"/>
              </a:defRPr>
            </a:pPr>
            <a:r>
              <a:rPr lang="en-GB" baseline="0">
                <a:latin typeface="Bahnschrift" panose="020B0502040204020203" pitchFamily="34" charset="0"/>
              </a:rPr>
              <a:t>minimum income guarantee - option 1</a:t>
            </a:r>
            <a:endParaRPr lang="en-GB">
              <a:latin typeface="Bahnschrift" panose="020B0502040204020203" pitchFamily="34" charset="0"/>
            </a:endParaRPr>
          </a:p>
        </c:rich>
      </c:tx>
      <c:layout>
        <c:manualLayout>
          <c:xMode val="edge"/>
          <c:yMode val="edge"/>
          <c:x val="1.7979002624671916E-2"/>
          <c:y val="3.7037037037037035E-2"/>
        </c:manualLayout>
      </c:layout>
      <c:overlay val="0"/>
      <c:spPr>
        <a:noFill/>
        <a:ln>
          <a:noFill/>
        </a:ln>
        <a:effectLst/>
      </c:spPr>
    </c:title>
    <c:autoTitleDeleted val="0"/>
    <c:plotArea>
      <c:layout/>
      <c:barChart>
        <c:barDir val="col"/>
        <c:grouping val="stacked"/>
        <c:varyColors val="0"/>
        <c:ser>
          <c:idx val="0"/>
          <c:order val="0"/>
          <c:tx>
            <c:strRef>
              <c:f>'[Copy of MIG vs CPI 1.4(ES).xlsx]Cumulative charts'!$B$4</c:f>
              <c:strCache>
                <c:ptCount val="1"/>
                <c:pt idx="0">
                  <c:v>Minimum Income Guarantee</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charts'!$C$4:$G$4</c:f>
              <c:numCache>
                <c:formatCode>"£"#,##0.00</c:formatCode>
                <c:ptCount val="5"/>
                <c:pt idx="0">
                  <c:v>189</c:v>
                </c:pt>
                <c:pt idx="1">
                  <c:v>151.44999999999999</c:v>
                </c:pt>
                <c:pt idx="2">
                  <c:v>132.44999999999999</c:v>
                </c:pt>
                <c:pt idx="3">
                  <c:v>131.75</c:v>
                </c:pt>
                <c:pt idx="4">
                  <c:v>112.75</c:v>
                </c:pt>
              </c:numCache>
            </c:numRef>
          </c:val>
          <c:extLst xmlns:c16r2="http://schemas.microsoft.com/office/drawing/2015/06/chart">
            <c:ext xmlns:c16="http://schemas.microsoft.com/office/drawing/2014/chart" uri="{C3380CC4-5D6E-409C-BE32-E72D297353CC}">
              <c16:uniqueId val="{00000000-10D4-4CA3-A32C-5E46E777F6CB}"/>
            </c:ext>
          </c:extLst>
        </c:ser>
        <c:ser>
          <c:idx val="1"/>
          <c:order val="1"/>
          <c:tx>
            <c:strRef>
              <c:f>'[Copy of MIG vs CPI 1.4(ES).xlsx]Cumulative charts'!$B$5</c:f>
              <c:strCache>
                <c:ptCount val="1"/>
                <c:pt idx="0">
                  <c:v>Cost of living increase</c:v>
                </c:pt>
              </c:strCache>
            </c:strRef>
          </c:tx>
          <c:spPr>
            <a:solidFill>
              <a:schemeClr val="accent6">
                <a:lumMod val="75000"/>
              </a:schemeClr>
            </a:solidFill>
            <a:ln>
              <a:noFill/>
            </a:ln>
            <a:effectLst/>
          </c:spPr>
          <c:invertIfNegative val="0"/>
          <c:dLbls>
            <c:dLbl>
              <c:idx val="0"/>
              <c:layout>
                <c:manualLayout>
                  <c:x val="6.666666666666666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D4-4CA3-A32C-5E46E777F6CB}"/>
                </c:ext>
              </c:extLst>
            </c:dLbl>
            <c:dLbl>
              <c:idx val="1"/>
              <c:layout>
                <c:manualLayout>
                  <c:x val="6.3888888888888884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0D4-4CA3-A32C-5E46E777F6CB}"/>
                </c:ext>
              </c:extLst>
            </c:dLbl>
            <c:dLbl>
              <c:idx val="2"/>
              <c:layout>
                <c:manualLayout>
                  <c:x val="7.499999999999999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0D4-4CA3-A32C-5E46E777F6CB}"/>
                </c:ext>
              </c:extLst>
            </c:dLbl>
            <c:dLbl>
              <c:idx val="3"/>
              <c:layout>
                <c:manualLayout>
                  <c:x val="7.4999999999999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0D4-4CA3-A32C-5E46E777F6CB}"/>
                </c:ext>
              </c:extLst>
            </c:dLbl>
            <c:dLbl>
              <c:idx val="4"/>
              <c:layout>
                <c:manualLayout>
                  <c:x val="6.944444444444423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0D4-4CA3-A32C-5E46E777F6C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7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charts'!$C$5:$G$5</c:f>
              <c:numCache>
                <c:formatCode>"£"#,##0.00</c:formatCode>
                <c:ptCount val="5"/>
                <c:pt idx="0">
                  <c:v>1.75</c:v>
                </c:pt>
                <c:pt idx="1">
                  <c:v>0.35000000000002274</c:v>
                </c:pt>
                <c:pt idx="2">
                  <c:v>19.350000000000023</c:v>
                </c:pt>
                <c:pt idx="3">
                  <c:v>2</c:v>
                </c:pt>
                <c:pt idx="4">
                  <c:v>21</c:v>
                </c:pt>
              </c:numCache>
            </c:numRef>
          </c:val>
          <c:extLst xmlns:c16r2="http://schemas.microsoft.com/office/drawing/2015/06/chart">
            <c:ext xmlns:c16="http://schemas.microsoft.com/office/drawing/2014/chart" uri="{C3380CC4-5D6E-409C-BE32-E72D297353CC}">
              <c16:uniqueId val="{00000006-10D4-4CA3-A32C-5E46E777F6CB}"/>
            </c:ext>
          </c:extLst>
        </c:ser>
        <c:dLbls>
          <c:showLegendKey val="0"/>
          <c:showVal val="0"/>
          <c:showCatName val="0"/>
          <c:showSerName val="0"/>
          <c:showPercent val="0"/>
          <c:showBubbleSize val="0"/>
        </c:dLbls>
        <c:gapWidth val="150"/>
        <c:overlap val="100"/>
        <c:axId val="83090048"/>
        <c:axId val="84083072"/>
      </c:barChart>
      <c:catAx>
        <c:axId val="8309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84083072"/>
        <c:crosses val="autoZero"/>
        <c:auto val="1"/>
        <c:lblAlgn val="ctr"/>
        <c:lblOffset val="100"/>
        <c:noMultiLvlLbl val="0"/>
      </c:catAx>
      <c:valAx>
        <c:axId val="84083072"/>
        <c:scaling>
          <c:orientation val="minMax"/>
          <c:min val="100"/>
        </c:scaling>
        <c:delete val="0"/>
        <c:axPos val="l"/>
        <c:majorGridlines>
          <c:spPr>
            <a:ln w="9525" cap="flat" cmpd="sng" algn="ctr">
              <a:solidFill>
                <a:schemeClr val="bg1">
                  <a:lumMod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8309004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Bahnschrift" panose="020B0502040204020203" pitchFamily="34" charset="0"/>
                <a:ea typeface="+mn-ea"/>
                <a:cs typeface="+mn-cs"/>
              </a:defRPr>
            </a:pPr>
            <a:r>
              <a:rPr lang="en-GB" baseline="0">
                <a:latin typeface="Bahnschrift" panose="020B0502040204020203" pitchFamily="34" charset="0"/>
              </a:rPr>
              <a:t>Increase in cost of living above minimum income guarantee - option 2</a:t>
            </a:r>
            <a:endParaRPr lang="en-GB">
              <a:latin typeface="Bahnschrift" panose="020B0502040204020203" pitchFamily="34" charset="0"/>
            </a:endParaRPr>
          </a:p>
        </c:rich>
      </c:tx>
      <c:layout>
        <c:manualLayout>
          <c:xMode val="edge"/>
          <c:yMode val="edge"/>
          <c:x val="1.845122484689414E-2"/>
          <c:y val="2.7777777777777776E-2"/>
        </c:manualLayout>
      </c:layout>
      <c:overlay val="0"/>
      <c:spPr>
        <a:noFill/>
        <a:ln>
          <a:noFill/>
        </a:ln>
        <a:effectLst/>
      </c:spPr>
    </c:title>
    <c:autoTitleDeleted val="0"/>
    <c:plotArea>
      <c:layout/>
      <c:barChart>
        <c:barDir val="col"/>
        <c:grouping val="stacked"/>
        <c:varyColors val="0"/>
        <c:ser>
          <c:idx val="0"/>
          <c:order val="0"/>
          <c:tx>
            <c:strRef>
              <c:f>'[Copy of MIG vs CPI 1.4(ES).xlsx]Cumulative charts'!$B$4</c:f>
              <c:strCache>
                <c:ptCount val="1"/>
                <c:pt idx="0">
                  <c:v>Minimum Income Guarantee</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charts'!$C$4:$G$4</c:f>
              <c:numCache>
                <c:formatCode>"£"#,##0.00</c:formatCode>
                <c:ptCount val="5"/>
                <c:pt idx="0">
                  <c:v>189</c:v>
                </c:pt>
                <c:pt idx="1">
                  <c:v>151.44999999999999</c:v>
                </c:pt>
                <c:pt idx="2">
                  <c:v>132.44999999999999</c:v>
                </c:pt>
                <c:pt idx="3">
                  <c:v>131.75</c:v>
                </c:pt>
                <c:pt idx="4">
                  <c:v>112.75</c:v>
                </c:pt>
              </c:numCache>
            </c:numRef>
          </c:val>
          <c:extLst xmlns:c16r2="http://schemas.microsoft.com/office/drawing/2015/06/chart">
            <c:ext xmlns:c16="http://schemas.microsoft.com/office/drawing/2014/chart" uri="{C3380CC4-5D6E-409C-BE32-E72D297353CC}">
              <c16:uniqueId val="{00000000-CCC6-4048-9198-0334DEA19101}"/>
            </c:ext>
          </c:extLst>
        </c:ser>
        <c:ser>
          <c:idx val="1"/>
          <c:order val="1"/>
          <c:tx>
            <c:strRef>
              <c:f>'[Copy of MIG vs CPI 1.4(ES).xlsx]Cumulative charts'!$B$6</c:f>
              <c:strCache>
                <c:ptCount val="1"/>
                <c:pt idx="0">
                  <c:v>Cost of living increase</c:v>
                </c:pt>
              </c:strCache>
            </c:strRef>
          </c:tx>
          <c:spPr>
            <a:solidFill>
              <a:schemeClr val="accent6">
                <a:lumMod val="75000"/>
              </a:schemeClr>
            </a:solidFill>
            <a:ln>
              <a:noFill/>
            </a:ln>
            <a:effectLst/>
          </c:spPr>
          <c:invertIfNegative val="0"/>
          <c:dLbls>
            <c:dLbl>
              <c:idx val="0"/>
              <c:layout>
                <c:manualLayout>
                  <c:x val="6.6666666666666666E-2"/>
                  <c:y val="2.121889068003332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C6-4048-9198-0334DEA19101}"/>
                </c:ext>
              </c:extLst>
            </c:dLbl>
            <c:dLbl>
              <c:idx val="1"/>
              <c:layout>
                <c:manualLayout>
                  <c:x val="7.4999999999999997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C6-4048-9198-0334DEA19101}"/>
                </c:ext>
              </c:extLst>
            </c:dLbl>
            <c:dLbl>
              <c:idx val="2"/>
              <c:layout>
                <c:manualLayout>
                  <c:x val="7.222222222222221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CC6-4048-9198-0334DEA19101}"/>
                </c:ext>
              </c:extLst>
            </c:dLbl>
            <c:dLbl>
              <c:idx val="3"/>
              <c:layout>
                <c:manualLayout>
                  <c:x val="7.222222222222211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CC6-4048-9198-0334DEA19101}"/>
                </c:ext>
              </c:extLst>
            </c:dLbl>
            <c:dLbl>
              <c:idx val="4"/>
              <c:layout>
                <c:manualLayout>
                  <c:x val="6.9444444444444239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CC6-4048-9198-0334DEA1910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7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charts'!$C$6:$G$6</c:f>
              <c:numCache>
                <c:formatCode>"£"#,##0.00</c:formatCode>
                <c:ptCount val="5"/>
                <c:pt idx="0">
                  <c:v>3.7800000000000011</c:v>
                </c:pt>
                <c:pt idx="1">
                  <c:v>0.75724999999997067</c:v>
                </c:pt>
                <c:pt idx="2">
                  <c:v>0.66224999999997181</c:v>
                </c:pt>
                <c:pt idx="3">
                  <c:v>0.65874999999999773</c:v>
                </c:pt>
                <c:pt idx="4">
                  <c:v>0.56374999999998465</c:v>
                </c:pt>
              </c:numCache>
            </c:numRef>
          </c:val>
          <c:extLst xmlns:c16r2="http://schemas.microsoft.com/office/drawing/2015/06/chart">
            <c:ext xmlns:c16="http://schemas.microsoft.com/office/drawing/2014/chart" uri="{C3380CC4-5D6E-409C-BE32-E72D297353CC}">
              <c16:uniqueId val="{00000006-CCC6-4048-9198-0334DEA19101}"/>
            </c:ext>
          </c:extLst>
        </c:ser>
        <c:dLbls>
          <c:showLegendKey val="0"/>
          <c:showVal val="0"/>
          <c:showCatName val="0"/>
          <c:showSerName val="0"/>
          <c:showPercent val="0"/>
          <c:showBubbleSize val="0"/>
        </c:dLbls>
        <c:gapWidth val="150"/>
        <c:overlap val="100"/>
        <c:axId val="84117376"/>
        <c:axId val="84118912"/>
      </c:barChart>
      <c:catAx>
        <c:axId val="8411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84118912"/>
        <c:crosses val="autoZero"/>
        <c:auto val="1"/>
        <c:lblAlgn val="ctr"/>
        <c:lblOffset val="100"/>
        <c:noMultiLvlLbl val="0"/>
      </c:catAx>
      <c:valAx>
        <c:axId val="84118912"/>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8411737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Bahnschrift" panose="020B0502040204020203" pitchFamily="34" charset="0"/>
                <a:ea typeface="+mn-ea"/>
                <a:cs typeface="+mn-cs"/>
              </a:defRPr>
            </a:pPr>
            <a:r>
              <a:rPr lang="en-GB" baseline="0">
                <a:latin typeface="Bahnschrift" panose="020B0502040204020203" pitchFamily="34" charset="0"/>
              </a:rPr>
              <a:t>Minimum income guarantee and further 'saving' for people - option 4</a:t>
            </a:r>
            <a:endParaRPr lang="en-GB">
              <a:latin typeface="Bahnschrift" panose="020B0502040204020203" pitchFamily="34" charset="0"/>
            </a:endParaRPr>
          </a:p>
        </c:rich>
      </c:tx>
      <c:layout>
        <c:manualLayout>
          <c:xMode val="edge"/>
          <c:yMode val="edge"/>
          <c:x val="2.1958223972003504E-2"/>
          <c:y val="2.7777777777777776E-2"/>
        </c:manualLayout>
      </c:layout>
      <c:overlay val="0"/>
      <c:spPr>
        <a:noFill/>
        <a:ln>
          <a:noFill/>
        </a:ln>
        <a:effectLst/>
      </c:spPr>
    </c:title>
    <c:autoTitleDeleted val="0"/>
    <c:plotArea>
      <c:layout/>
      <c:barChart>
        <c:barDir val="col"/>
        <c:grouping val="stacked"/>
        <c:varyColors val="0"/>
        <c:ser>
          <c:idx val="0"/>
          <c:order val="0"/>
          <c:tx>
            <c:strRef>
              <c:f>'[Copy of MIG vs CPI 1.4(ES).xlsx]Cumulative charts'!$B$4</c:f>
              <c:strCache>
                <c:ptCount val="1"/>
                <c:pt idx="0">
                  <c:v>Minimum Income Guarantee</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charts'!$C$4:$G$4</c:f>
              <c:numCache>
                <c:formatCode>"£"#,##0.00</c:formatCode>
                <c:ptCount val="5"/>
                <c:pt idx="0">
                  <c:v>189</c:v>
                </c:pt>
                <c:pt idx="1">
                  <c:v>151.44999999999999</c:v>
                </c:pt>
                <c:pt idx="2">
                  <c:v>132.44999999999999</c:v>
                </c:pt>
                <c:pt idx="3">
                  <c:v>131.75</c:v>
                </c:pt>
                <c:pt idx="4">
                  <c:v>112.75</c:v>
                </c:pt>
              </c:numCache>
            </c:numRef>
          </c:val>
          <c:extLst xmlns:c16r2="http://schemas.microsoft.com/office/drawing/2015/06/chart">
            <c:ext xmlns:c16="http://schemas.microsoft.com/office/drawing/2014/chart" uri="{C3380CC4-5D6E-409C-BE32-E72D297353CC}">
              <c16:uniqueId val="{00000000-E702-48F7-B480-DFE1BEBA04D9}"/>
            </c:ext>
          </c:extLst>
        </c:ser>
        <c:ser>
          <c:idx val="1"/>
          <c:order val="1"/>
          <c:tx>
            <c:strRef>
              <c:f>'[Copy of MIG vs CPI 1.4(ES).xlsx]Cumulative charts'!$B$7</c:f>
              <c:strCache>
                <c:ptCount val="1"/>
                <c:pt idx="0">
                  <c:v>Cost of living increase</c:v>
                </c:pt>
              </c:strCache>
            </c:strRef>
          </c:tx>
          <c:spPr>
            <a:solidFill>
              <a:schemeClr val="accent2"/>
            </a:solidFill>
            <a:ln>
              <a:noFill/>
            </a:ln>
            <a:effectLst/>
          </c:spPr>
          <c:invertIfNegative val="0"/>
          <c:dLbls>
            <c:dLbl>
              <c:idx val="0"/>
              <c:layout>
                <c:manualLayout>
                  <c:x val="6.9444444444444448E-2"/>
                  <c:y val="-2.1218890680033321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702-48F7-B480-DFE1BEBA04D9}"/>
                </c:ext>
              </c:extLst>
            </c:dLbl>
            <c:dLbl>
              <c:idx val="1"/>
              <c:layout>
                <c:manualLayout>
                  <c:x val="6.3888888888888939E-2"/>
                  <c:y val="-4.243778136006664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702-48F7-B480-DFE1BEBA04D9}"/>
                </c:ext>
              </c:extLst>
            </c:dLbl>
            <c:dLbl>
              <c:idx val="2"/>
              <c:layout>
                <c:manualLayout>
                  <c:x val="6.944444444444433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702-48F7-B480-DFE1BEBA04D9}"/>
                </c:ext>
              </c:extLst>
            </c:dLbl>
            <c:dLbl>
              <c:idx val="3"/>
              <c:layout>
                <c:manualLayout>
                  <c:x val="6.6666666666666569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702-48F7-B480-DFE1BEBA04D9}"/>
                </c:ext>
              </c:extLst>
            </c:dLbl>
            <c:dLbl>
              <c:idx val="4"/>
              <c:layout>
                <c:manualLayout>
                  <c:x val="6.9444444444444448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702-48F7-B480-DFE1BEBA04D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7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charts'!$C$7:$G$7</c:f>
              <c:numCache>
                <c:formatCode>"£"#,##0.00</c:formatCode>
                <c:ptCount val="5"/>
                <c:pt idx="0">
                  <c:v>2.5</c:v>
                </c:pt>
                <c:pt idx="1">
                  <c:v>2.3059999999999974</c:v>
                </c:pt>
                <c:pt idx="2">
                  <c:v>2.3770000000000095</c:v>
                </c:pt>
                <c:pt idx="3">
                  <c:v>1.7690000000000055</c:v>
                </c:pt>
                <c:pt idx="4">
                  <c:v>1.8400000000000034</c:v>
                </c:pt>
              </c:numCache>
            </c:numRef>
          </c:val>
          <c:extLst xmlns:c16r2="http://schemas.microsoft.com/office/drawing/2015/06/chart">
            <c:ext xmlns:c16="http://schemas.microsoft.com/office/drawing/2014/chart" uri="{C3380CC4-5D6E-409C-BE32-E72D297353CC}">
              <c16:uniqueId val="{00000006-E702-48F7-B480-DFE1BEBA04D9}"/>
            </c:ext>
          </c:extLst>
        </c:ser>
        <c:dLbls>
          <c:showLegendKey val="0"/>
          <c:showVal val="0"/>
          <c:showCatName val="0"/>
          <c:showSerName val="0"/>
          <c:showPercent val="0"/>
          <c:showBubbleSize val="0"/>
        </c:dLbls>
        <c:gapWidth val="150"/>
        <c:overlap val="100"/>
        <c:axId val="84563072"/>
        <c:axId val="84564608"/>
      </c:barChart>
      <c:catAx>
        <c:axId val="845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84564608"/>
        <c:crosses val="autoZero"/>
        <c:auto val="1"/>
        <c:lblAlgn val="ctr"/>
        <c:lblOffset val="100"/>
        <c:noMultiLvlLbl val="0"/>
      </c:catAx>
      <c:valAx>
        <c:axId val="84564608"/>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8456307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Bahnschrift" panose="020B0502040204020203" pitchFamily="34" charset="0"/>
                <a:ea typeface="+mn-ea"/>
                <a:cs typeface="+mn-cs"/>
              </a:defRPr>
            </a:pPr>
            <a:r>
              <a:rPr lang="en-GB" baseline="0">
                <a:latin typeface="Bahnschrift" panose="020B0502040204020203" pitchFamily="34" charset="0"/>
              </a:rPr>
              <a:t>Increase in weekly cost of living allowance above minimum income guarantee - option 5</a:t>
            </a:r>
            <a:endParaRPr lang="en-GB">
              <a:latin typeface="Bahnschrift" panose="020B0502040204020203" pitchFamily="34" charset="0"/>
            </a:endParaRPr>
          </a:p>
        </c:rich>
      </c:tx>
      <c:layout>
        <c:manualLayout>
          <c:xMode val="edge"/>
          <c:yMode val="edge"/>
          <c:x val="2.1229002624671919E-2"/>
          <c:y val="2.7777777777777776E-2"/>
        </c:manualLayout>
      </c:layout>
      <c:overlay val="0"/>
      <c:spPr>
        <a:noFill/>
        <a:ln>
          <a:noFill/>
        </a:ln>
        <a:effectLst/>
      </c:spPr>
    </c:title>
    <c:autoTitleDeleted val="0"/>
    <c:plotArea>
      <c:layout/>
      <c:barChart>
        <c:barDir val="col"/>
        <c:grouping val="stacked"/>
        <c:varyColors val="0"/>
        <c:ser>
          <c:idx val="0"/>
          <c:order val="0"/>
          <c:tx>
            <c:strRef>
              <c:f>'[Copy of MIG vs CPI 1.4(ES).xlsx]Cumulative charts'!$B$4</c:f>
              <c:strCache>
                <c:ptCount val="1"/>
                <c:pt idx="0">
                  <c:v>Minimum Income Guarantee</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charts'!$C$4:$G$4</c:f>
              <c:numCache>
                <c:formatCode>"£"#,##0.00</c:formatCode>
                <c:ptCount val="5"/>
                <c:pt idx="0">
                  <c:v>189</c:v>
                </c:pt>
                <c:pt idx="1">
                  <c:v>151.44999999999999</c:v>
                </c:pt>
                <c:pt idx="2">
                  <c:v>132.44999999999999</c:v>
                </c:pt>
                <c:pt idx="3">
                  <c:v>131.75</c:v>
                </c:pt>
                <c:pt idx="4">
                  <c:v>112.75</c:v>
                </c:pt>
              </c:numCache>
            </c:numRef>
          </c:val>
          <c:extLst xmlns:c16r2="http://schemas.microsoft.com/office/drawing/2015/06/chart">
            <c:ext xmlns:c16="http://schemas.microsoft.com/office/drawing/2014/chart" uri="{C3380CC4-5D6E-409C-BE32-E72D297353CC}">
              <c16:uniqueId val="{00000000-A587-4495-8B4E-AD65ACEDBF9B}"/>
            </c:ext>
          </c:extLst>
        </c:ser>
        <c:ser>
          <c:idx val="1"/>
          <c:order val="1"/>
          <c:tx>
            <c:strRef>
              <c:f>'[Copy of MIG vs CPI 1.4(ES).xlsx]Cumulative charts'!$B$8</c:f>
              <c:strCache>
                <c:ptCount val="1"/>
                <c:pt idx="0">
                  <c:v>Cost of living increase</c:v>
                </c:pt>
              </c:strCache>
            </c:strRef>
          </c:tx>
          <c:spPr>
            <a:solidFill>
              <a:schemeClr val="accent2"/>
            </a:solidFill>
            <a:ln>
              <a:noFill/>
            </a:ln>
            <a:effectLst/>
          </c:spPr>
          <c:invertIfNegative val="0"/>
          <c:dLbls>
            <c:dLbl>
              <c:idx val="0"/>
              <c:layout>
                <c:manualLayout>
                  <c:x val="6.944444444444444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587-4495-8B4E-AD65ACEDBF9B}"/>
                </c:ext>
              </c:extLst>
            </c:dLbl>
            <c:dLbl>
              <c:idx val="1"/>
              <c:layout>
                <c:manualLayout>
                  <c:x val="7.2222222222222118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587-4495-8B4E-AD65ACEDBF9B}"/>
                </c:ext>
              </c:extLst>
            </c:dLbl>
            <c:dLbl>
              <c:idx val="2"/>
              <c:layout>
                <c:manualLayout>
                  <c:x val="7.2222222222222215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587-4495-8B4E-AD65ACEDBF9B}"/>
                </c:ext>
              </c:extLst>
            </c:dLbl>
            <c:dLbl>
              <c:idx val="3"/>
              <c:layout>
                <c:manualLayout>
                  <c:x val="7.2222222222222118E-2"/>
                  <c:y val="-8.4875562720133283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587-4495-8B4E-AD65ACEDBF9B}"/>
                </c:ext>
              </c:extLst>
            </c:dLbl>
            <c:dLbl>
              <c:idx val="4"/>
              <c:layout>
                <c:manualLayout>
                  <c:x val="6.944444444444433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587-4495-8B4E-AD65ACEDBF9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75000"/>
                      </a:schemeClr>
                    </a:solidFill>
                    <a:latin typeface="Bahnschrift" panose="020B0502040204020203" pitchFamily="34" charset="0"/>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MIG vs CPI 1.4(ES).xlsx]Cumulative charts'!$C$3:$G$3</c:f>
              <c:strCache>
                <c:ptCount val="5"/>
                <c:pt idx="0">
                  <c:v>Above pension age</c:v>
                </c:pt>
                <c:pt idx="1">
                  <c:v>Aged 25 to pension age (severely disabled)</c:v>
                </c:pt>
                <c:pt idx="2">
                  <c:v>Under 25 (severely disabled)</c:v>
                </c:pt>
                <c:pt idx="3">
                  <c:v>Aged 25 to pension age</c:v>
                </c:pt>
                <c:pt idx="4">
                  <c:v>Under 25</c:v>
                </c:pt>
              </c:strCache>
            </c:strRef>
          </c:cat>
          <c:val>
            <c:numRef>
              <c:f>'[Copy of MIG vs CPI 1.4(ES).xlsx]Cumulative charts'!$C$8:$G$8</c:f>
              <c:numCache>
                <c:formatCode>"£"#,##0.00</c:formatCode>
                <c:ptCount val="5"/>
                <c:pt idx="0">
                  <c:v>2.5</c:v>
                </c:pt>
                <c:pt idx="1">
                  <c:v>2.5</c:v>
                </c:pt>
                <c:pt idx="2">
                  <c:v>2.5</c:v>
                </c:pt>
                <c:pt idx="3">
                  <c:v>2.5</c:v>
                </c:pt>
                <c:pt idx="4">
                  <c:v>2.5</c:v>
                </c:pt>
              </c:numCache>
            </c:numRef>
          </c:val>
          <c:extLst xmlns:c16r2="http://schemas.microsoft.com/office/drawing/2015/06/chart">
            <c:ext xmlns:c16="http://schemas.microsoft.com/office/drawing/2014/chart" uri="{C3380CC4-5D6E-409C-BE32-E72D297353CC}">
              <c16:uniqueId val="{00000006-A587-4495-8B4E-AD65ACEDBF9B}"/>
            </c:ext>
          </c:extLst>
        </c:ser>
        <c:dLbls>
          <c:showLegendKey val="0"/>
          <c:showVal val="0"/>
          <c:showCatName val="0"/>
          <c:showSerName val="0"/>
          <c:showPercent val="0"/>
          <c:showBubbleSize val="0"/>
        </c:dLbls>
        <c:gapWidth val="150"/>
        <c:overlap val="100"/>
        <c:axId val="131178496"/>
        <c:axId val="131180032"/>
      </c:barChart>
      <c:catAx>
        <c:axId val="13117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31180032"/>
        <c:crosses val="autoZero"/>
        <c:auto val="1"/>
        <c:lblAlgn val="ctr"/>
        <c:lblOffset val="100"/>
        <c:noMultiLvlLbl val="0"/>
      </c:catAx>
      <c:valAx>
        <c:axId val="131180032"/>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crossAx val="13117849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panose="020B0502040204020203" pitchFamily="34"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365C0-2232-42FB-B98E-E4624999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Sexton Ed</dc:creator>
  <cp:lastModifiedBy>Steve&amp;Val</cp:lastModifiedBy>
  <cp:revision>2</cp:revision>
  <dcterms:created xsi:type="dcterms:W3CDTF">2021-02-11T10:44:00Z</dcterms:created>
  <dcterms:modified xsi:type="dcterms:W3CDTF">2021-02-11T10:44:00Z</dcterms:modified>
</cp:coreProperties>
</file>